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5" w:rsidRPr="00127D67" w:rsidRDefault="00B30FB6" w:rsidP="00B642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заявок по </w:t>
      </w:r>
      <w:r w:rsidR="008434B2">
        <w:rPr>
          <w:rFonts w:ascii="Times New Roman" w:hAnsi="Times New Roman" w:cs="Times New Roman"/>
          <w:b/>
          <w:sz w:val="26"/>
          <w:szCs w:val="26"/>
        </w:rPr>
        <w:t>Ломоносовскому</w:t>
      </w:r>
      <w:r w:rsidR="00127D67">
        <w:rPr>
          <w:rFonts w:ascii="Times New Roman" w:hAnsi="Times New Roman" w:cs="Times New Roman"/>
          <w:b/>
          <w:sz w:val="26"/>
          <w:szCs w:val="26"/>
        </w:rPr>
        <w:t xml:space="preserve"> округу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8"/>
        <w:gridCol w:w="2408"/>
        <w:gridCol w:w="6380"/>
        <w:gridCol w:w="6008"/>
      </w:tblGrid>
      <w:tr w:rsidR="00705629" w:rsidTr="00705629">
        <w:tc>
          <w:tcPr>
            <w:tcW w:w="262" w:type="pct"/>
          </w:tcPr>
          <w:p w:rsidR="00705629" w:rsidRPr="00145AAB" w:rsidRDefault="0070562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1" w:type="pct"/>
          </w:tcPr>
          <w:p w:rsidR="00705629" w:rsidRPr="00145AAB" w:rsidRDefault="0070562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043" w:type="pct"/>
          </w:tcPr>
          <w:p w:rsidR="00705629" w:rsidRPr="00145AAB" w:rsidRDefault="0070562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924" w:type="pct"/>
          </w:tcPr>
          <w:p w:rsidR="00705629" w:rsidRPr="00145AAB" w:rsidRDefault="00705629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705629" w:rsidTr="00705629">
        <w:trPr>
          <w:trHeight w:val="859"/>
        </w:trPr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 ограждения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В настоящее время детская площадка не ограждена. Машины очень близко паркуются к детскому игровому оборудованию.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Ломоносовский округ ул. Шабалина 26</w:t>
            </w:r>
          </w:p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E04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ротуары</w:t>
            </w:r>
          </w:p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деревянных тротуаров на плитку тротуарную. Большое количество тротуаров на центральных улицах </w:t>
            </w:r>
            <w:proofErr w:type="gramStart"/>
            <w:r w:rsidRPr="00E04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деревянные</w:t>
            </w:r>
            <w:proofErr w:type="gramEnd"/>
            <w:r w:rsidRPr="00E04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Много из них сломаны, т.к. машины заезжают на тротуары и ломают их. Предлагаю </w:t>
            </w:r>
            <w:proofErr w:type="gramStart"/>
            <w:r w:rsidRPr="00E04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заменить часть тротуаров на тротуары</w:t>
            </w:r>
            <w:proofErr w:type="gramEnd"/>
            <w:r w:rsidRPr="00E04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плит. </w:t>
            </w:r>
            <w:proofErr w:type="gramStart"/>
            <w:r w:rsidRPr="00E04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из брусчатки, а именно плиточные, например 30*30;40*40;50*50</w:t>
            </w:r>
            <w:proofErr w:type="gramEnd"/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Ломоносовский округ,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омоносова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нечетная сторона,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пр.Обводный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канал, между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ул.Р.Люксембург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Выучейского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 стороны, на нечетной вообще когда то был асфальтовый, требуется восстановление. Розы Люксембург 19,, там участок с деревянным тротуаром. При ремонте улицы необходимо было сразу предусмотреть замену тротуара в ином исполнении. На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льинской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участок тротуара от Ленинградского в сторону церкви. Там тоже большая проходимость, всё время машинами ломают. На ул. Коммунальной тоже не понятно зачем тротуар деревянный, там просится из плитки или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асфальта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участке от Новгородского до Обводного по обеим сторонам улицы.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Новгородский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вдоль дома 46. Новгородский от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Р.Люксембург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Урицкого.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и детская площадка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sz w:val="24"/>
                <w:szCs w:val="24"/>
              </w:rPr>
              <w:t>Устройство спортивно-детской площадки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sz w:val="24"/>
                <w:szCs w:val="24"/>
              </w:rPr>
              <w:t xml:space="preserve">Двор между домами Урицкого, 50 и </w:t>
            </w:r>
            <w:proofErr w:type="spellStart"/>
            <w:r w:rsidRPr="00E04377">
              <w:rPr>
                <w:rFonts w:ascii="Times New Roman" w:hAnsi="Times New Roman" w:cs="Times New Roman"/>
                <w:sz w:val="24"/>
                <w:szCs w:val="24"/>
              </w:rPr>
              <w:t>Обв</w:t>
            </w:r>
            <w:proofErr w:type="spellEnd"/>
            <w:r w:rsidRPr="00E04377">
              <w:rPr>
                <w:rFonts w:ascii="Times New Roman" w:hAnsi="Times New Roman" w:cs="Times New Roman"/>
                <w:sz w:val="24"/>
                <w:szCs w:val="24"/>
              </w:rPr>
              <w:t>. Канал, д.4, на территории Архангельского политехнического техникума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"Наедине с природой" - создание экологической тропы на территории МБДОУ Детский сад №147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по экологическому воспитанию детей дошкольного возраста МБДОУ Детский сад №147 требует создания следующих условий: - посадка саженцев разных видов деревьев и кустарников; - облагораживание территории для прогулок и наблюдения за природой: - изготовление тропинок из разных материалов: камень, песок, деревянные мостки; - скамейки для отдыха; - стенды, информационные доски с целью пропаганды охраны природы и экологии города Архангельска;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разные виды почв и природного материала: песок, земля, щебень, гравий и др. с целью поисково-экспериментальной деятельности; - примеры разных видов экосистем: луг, лес, </w:t>
            </w: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пустыня, озеро, клумба; - указатели и информационные таблички.</w:t>
            </w:r>
            <w:proofErr w:type="gramEnd"/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Территория МБДОУ Детский сад №147 по ул. Поморская, д.13, корп.2 Ломоносовского территориального округа</w:t>
            </w:r>
          </w:p>
        </w:tc>
      </w:tr>
      <w:tr w:rsidR="00705629" w:rsidTr="00705629">
        <w:tc>
          <w:tcPr>
            <w:tcW w:w="262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1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043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924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Ограждение детской площадки по адресу: г. Архангельск, ул. Шабалина, д.22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2009 году во дворе ограниченном домами 22,24,26,26 корп.1, 26 корп.2 по ул. Шабалина установлены элементы детского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игрового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оборудования, используются большим количеством детей проживающих в указанных домах и учащимися школы №17. В непосредственной близости территория используется автовладельцами для размещения автотранспорта, что может повлечь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травмированию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Ломоносовский территориальный округ, ул. Шабалина, д.22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Ограждение детской площадки по адресу: г. Архангельск, пр. Советских Космонавтов, д.35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2007 году во дворе установлены элементы детского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игрового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оборудования, используются большим количеством детей проживающих в нашем и соседних домах. В непосредственной близости территория используется автовладельцами для размещения автотранспорта, что может повлечь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травмированию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Ломоносовский территориальный округ,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Советских Космонавтов, д.35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</w:t>
            </w:r>
            <w:proofErr w:type="spellStart"/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Министадион</w:t>
            </w:r>
            <w:proofErr w:type="spellEnd"/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 для детского сада"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спортивных мероприятий детского сада на свежем воздухе: - для обеспечения качественной организации игр и занятий по физическому развитию в весенний, летний и осенний период необходимо создать определенные условия: - безопасное покрытие поля с разметкой для мини-футбола, волейбола, баскетбола; - безопасное покрытие вокруг поля для беговых дорожек; - ворота для мини-футбола; - сетка для игры в волейбол;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кольца для обучения детей игры в баскетбол; - детские уличные тренажеры; -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рукоход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; - лабиринт.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МБДОУ Детский сад №147 по ул. Поморская, д.13, корп.2 Ломоносовского территориального округа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малых архитектурных форм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конкурс проектов, с последующим воплощением, малых архитектурных форм. В результате конкурса отобрать проекты остановочных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пунктов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которые так же могут являться и арт-объектами. Это привнесет дополнительный "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коллорит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" в облик округа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частности такие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остоновочные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пункты могли бы быть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пр. Обводный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Канал,ул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рицкого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Ломоносовский округ</w:t>
            </w:r>
          </w:p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29" w:rsidTr="00705629">
        <w:tc>
          <w:tcPr>
            <w:tcW w:w="262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1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043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924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«Здоровые дети – будущее страны»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детско-спортивной площадки: - формирование рабочей группы по реализации проекта из числа сотрудников детского сада и родителей воспитанников; - разработка плана реализации проекта, распределение функциональных обязанностей, определение приоритетов; - оценка необходимых ресурсов и поиск источников финансирования проекта; - подготовка территории для строительства спортивной площадки (расчистка, выравнивание, трамбовка земли, завоз песка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становка спортивного-игрового комплекса на площадке: беговая дорожка, ямы для прыжков, установки турников и тренажёров); - подготовка и проведения торжественного открытия площадки. На открытии силами детских творческих коллективов организация концерта, различных игр на свежем воздухе, - подготовка и проведение обучающих мастер-классов,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флешмобов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оздоровления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нализ деятельности в процессе реализации проекта; - оценка полученных результатов; - планирование дальнейшей деятельности в направлении создания условий для оздоровления воспитанников, взрослых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Ломоносовский округ, ул.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Суфтина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, 1 проезд, дом 7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"Площадка для выгула животных в каждый двор"</w:t>
            </w:r>
          </w:p>
        </w:tc>
        <w:tc>
          <w:tcPr>
            <w:tcW w:w="2043" w:type="pct"/>
          </w:tcPr>
          <w:p w:rsidR="00705629" w:rsidRPr="00705629" w:rsidRDefault="00705629" w:rsidP="00E0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29">
              <w:rPr>
                <w:rFonts w:ascii="Times New Roman" w:hAnsi="Times New Roman" w:cs="Times New Roman"/>
                <w:sz w:val="24"/>
                <w:szCs w:val="24"/>
              </w:rPr>
              <w:t>Гигиена дворовых территорий Архангельска отсутствует. Для реализации инициативы потребуется: - внести изменения в п. 12 Решения Архангельской городской Думы № 567 от 20.09.207 г. "Об утверждении местных нормативов градостроительного проектирования муниципального образования "Город Архангельск", разрешающие установку площадок для выгула животных на расстоянии 10-15 м. от окон жилых домов, ввиду плотной застройки в городе.</w:t>
            </w:r>
          </w:p>
          <w:p w:rsidR="00705629" w:rsidRPr="00705629" w:rsidRDefault="00705629" w:rsidP="00E0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29">
              <w:rPr>
                <w:rFonts w:ascii="Times New Roman" w:hAnsi="Times New Roman" w:cs="Times New Roman"/>
                <w:sz w:val="24"/>
                <w:szCs w:val="24"/>
              </w:rPr>
              <w:t>-опубликовать на сайте администрации города извещение, порядок реализации работ и форму заявки в департамент градостроительства на установку площадок.</w:t>
            </w:r>
          </w:p>
          <w:p w:rsidR="00705629" w:rsidRPr="00705629" w:rsidRDefault="00705629" w:rsidP="00E0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29">
              <w:rPr>
                <w:rFonts w:ascii="Times New Roman" w:hAnsi="Times New Roman" w:cs="Times New Roman"/>
                <w:sz w:val="24"/>
                <w:szCs w:val="24"/>
              </w:rPr>
              <w:t xml:space="preserve">-собрать заявки </w:t>
            </w:r>
          </w:p>
          <w:p w:rsidR="00705629" w:rsidRPr="00705629" w:rsidRDefault="00705629" w:rsidP="00E0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29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установить площадки для выгула животных </w:t>
            </w:r>
          </w:p>
        </w:tc>
        <w:tc>
          <w:tcPr>
            <w:tcW w:w="1924" w:type="pct"/>
          </w:tcPr>
          <w:p w:rsidR="00705629" w:rsidRPr="00705629" w:rsidRDefault="00705629" w:rsidP="00E0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29">
              <w:rPr>
                <w:rFonts w:ascii="Times New Roman" w:hAnsi="Times New Roman" w:cs="Times New Roman"/>
                <w:sz w:val="24"/>
                <w:szCs w:val="24"/>
              </w:rPr>
              <w:t>Ломоносовский округ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«Доступный спорт» (школьная спортивная площадка)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спортивной площадки на территории МБОУ СШ №22 в Ломоносовском округе по адресу </w:t>
            </w:r>
            <w:proofErr w:type="spellStart"/>
            <w:r w:rsidRPr="00E04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E04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04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оветских</w:t>
            </w:r>
            <w:proofErr w:type="spellEnd"/>
            <w:r w:rsidRPr="00E04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космонавтов, д.69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sz w:val="24"/>
                <w:szCs w:val="24"/>
              </w:rPr>
              <w:t xml:space="preserve">           г. Архангельск, Ломоносовский округ, пр. Советских космонавтов, дом 69</w:t>
            </w:r>
          </w:p>
        </w:tc>
      </w:tr>
      <w:tr w:rsidR="00705629" w:rsidTr="00705629">
        <w:tc>
          <w:tcPr>
            <w:tcW w:w="262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-1"/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1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043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924" w:type="pct"/>
          </w:tcPr>
          <w:p w:rsidR="00705629" w:rsidRPr="00145AAB" w:rsidRDefault="00705629" w:rsidP="00E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bookmarkEnd w:id="0"/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"Детская площадка вместо пустыря"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придомовой территории по адресу набережная Северной Двины, д. 4, организация пространства для прогулок и игр детей. Необходимо: - сделать почву ровной, - постелить специальное покрытие для минимизации детского травматизма, - поставить ограждение, - установить песочницу, - установить качели, горку, качалки, игровой домик и др.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Ломоносовский округ, набережная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Северной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двины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, д. 4.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"Детская автошкола" - детский игровой городок по правилам дорожного движения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по профилактике детского дорожно-транспортного травматизма требует создания следующих условий: - цельное асфальтное покрытие; - дорожная разметка; - дорожные знаки; - остановки общественного транспорта; -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электросветофор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- детские самокаты, электромобили; - </w:t>
            </w:r>
            <w:proofErr w:type="spell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велопарковка</w:t>
            </w:r>
            <w:proofErr w:type="spell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; - экипировка для сюжетно-ролевой игры "ДПС", "Полиция".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МБДОУ Детский сад №147 по ул. Поморская, д.13, корп.2 Ломоносовского территориального округа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Благоустройство территории МБОУ СШ № 17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стадиона, создание современной площадки для спортивных игр, ремонт беговых дорожек. Благоустройство школьного двора, ремонт покрытия, установка стоянки для велосипедов. Реконструкция входных зон.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Ломоносовский округ, ул. Воскресенская106\2</w:t>
            </w:r>
          </w:p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Тротуар вдоль Вельской от Касаткиной в сторону центра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пешеходную территорию (тротуар) вдоль улицы Вельской от Касаткиной до Ильинской церкви, в будущем - возможно улучшив ее аллеей (кустами и деревьями)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Архангельская область</w:t>
            </w:r>
          </w:p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 асфальтобетонного покрытия МБОУ СШ №9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асфальтобетонного покрытия МБОУ СШ №9. Асфальтобетонное покрытие подъездных путей центрального входа пришло в полную негодность или отсутствует вообще.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Ломоносовский округ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р. Ломон</w:t>
            </w: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осова д.80 Территория МБОУ СШ №9</w:t>
            </w:r>
          </w:p>
        </w:tc>
      </w:tr>
      <w:tr w:rsidR="00705629" w:rsidTr="00705629">
        <w:tc>
          <w:tcPr>
            <w:tcW w:w="262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1" w:type="pct"/>
          </w:tcPr>
          <w:p w:rsidR="00705629" w:rsidRPr="00E04377" w:rsidRDefault="00705629" w:rsidP="00E04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Обустройство футбольной площадки на территории МБОУ СШ №9</w:t>
            </w:r>
          </w:p>
        </w:tc>
        <w:tc>
          <w:tcPr>
            <w:tcW w:w="2043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футбольной площадки для занятий спортом и игры футбол учащимся МБОУ СШ №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так же жителями близлежащих домов</w:t>
            </w:r>
          </w:p>
        </w:tc>
        <w:tc>
          <w:tcPr>
            <w:tcW w:w="1924" w:type="pct"/>
          </w:tcPr>
          <w:p w:rsidR="00705629" w:rsidRPr="00E04377" w:rsidRDefault="00705629" w:rsidP="00E04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Ломоносовский округ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04377">
              <w:rPr>
                <w:rFonts w:ascii="Times New Roman" w:hAnsi="Times New Roman" w:cs="Times New Roman"/>
                <w:bCs/>
                <w:sz w:val="24"/>
                <w:szCs w:val="24"/>
              </w:rPr>
              <w:t>р. Ломоносова д.80 Территория МБОУ СШ №9</w:t>
            </w:r>
          </w:p>
        </w:tc>
      </w:tr>
    </w:tbl>
    <w:p w:rsidR="00B30FB6" w:rsidRPr="00B30FB6" w:rsidRDefault="00B30FB6" w:rsidP="00B30FB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FB6" w:rsidRPr="00B30FB6" w:rsidSect="00B64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B6"/>
    <w:rsid w:val="00127D67"/>
    <w:rsid w:val="00145AAB"/>
    <w:rsid w:val="005A773D"/>
    <w:rsid w:val="00705629"/>
    <w:rsid w:val="008434B2"/>
    <w:rsid w:val="008E0858"/>
    <w:rsid w:val="00AD45D5"/>
    <w:rsid w:val="00B05D06"/>
    <w:rsid w:val="00B30FB6"/>
    <w:rsid w:val="00B642F8"/>
    <w:rsid w:val="00C00865"/>
    <w:rsid w:val="00DB607B"/>
    <w:rsid w:val="00E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2018-06-21T10:04:00Z</cp:lastPrinted>
  <dcterms:created xsi:type="dcterms:W3CDTF">2018-06-22T13:43:00Z</dcterms:created>
  <dcterms:modified xsi:type="dcterms:W3CDTF">2018-06-22T13:43:00Z</dcterms:modified>
</cp:coreProperties>
</file>