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9D" w:rsidRDefault="0081329D" w:rsidP="008132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329D">
        <w:rPr>
          <w:rFonts w:ascii="Times New Roman" w:hAnsi="Times New Roman" w:cs="Times New Roman"/>
          <w:sz w:val="28"/>
          <w:szCs w:val="28"/>
        </w:rPr>
        <w:t xml:space="preserve">Извлечение из решения Архангельской городской Думы  </w:t>
      </w:r>
    </w:p>
    <w:p w:rsidR="0081329D" w:rsidRPr="0081329D" w:rsidRDefault="0081329D" w:rsidP="008132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1329D">
        <w:rPr>
          <w:rFonts w:ascii="Times New Roman" w:hAnsi="Times New Roman" w:cs="Times New Roman"/>
          <w:sz w:val="28"/>
          <w:szCs w:val="28"/>
        </w:rPr>
        <w:t xml:space="preserve">от 28 ноября 2012 г. N 504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329D">
        <w:rPr>
          <w:rFonts w:ascii="Times New Roman" w:hAnsi="Times New Roman" w:cs="Times New Roman"/>
          <w:sz w:val="28"/>
          <w:szCs w:val="28"/>
        </w:rPr>
        <w:t xml:space="preserve">в ред. </w:t>
      </w:r>
      <w:r w:rsidRPr="0081329D">
        <w:rPr>
          <w:rFonts w:ascii="Times New Roman" w:hAnsi="Times New Roman" w:cs="Times New Roman"/>
          <w:color w:val="0000FF"/>
          <w:sz w:val="28"/>
          <w:szCs w:val="28"/>
        </w:rPr>
        <w:t>решения</w:t>
      </w:r>
      <w:r w:rsidRPr="0081329D">
        <w:rPr>
          <w:rFonts w:ascii="Times New Roman" w:hAnsi="Times New Roman" w:cs="Times New Roman"/>
          <w:sz w:val="28"/>
          <w:szCs w:val="28"/>
        </w:rPr>
        <w:t xml:space="preserve"> Архангельской городской Думы</w:t>
      </w:r>
      <w:proofErr w:type="gramEnd"/>
    </w:p>
    <w:p w:rsidR="0081329D" w:rsidRDefault="0081329D" w:rsidP="008132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329D">
        <w:rPr>
          <w:rFonts w:ascii="Times New Roman" w:hAnsi="Times New Roman" w:cs="Times New Roman"/>
          <w:sz w:val="28"/>
          <w:szCs w:val="28"/>
        </w:rPr>
        <w:t xml:space="preserve">от 22.05.2013 N 576) </w:t>
      </w:r>
      <w:r w:rsidR="00603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29D">
        <w:rPr>
          <w:rFonts w:ascii="Times New Roman" w:hAnsi="Times New Roman" w:cs="Times New Roman"/>
          <w:sz w:val="28"/>
          <w:szCs w:val="28"/>
        </w:rPr>
        <w:t>Об утверждении схемы одномандатных избирательных округов для проведения выборов депутатов Архангельской городской Думы в 2013 - 2022 годах»</w:t>
      </w:r>
    </w:p>
    <w:p w:rsidR="0081329D" w:rsidRDefault="0081329D" w:rsidP="008132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2409"/>
      </w:tblGrid>
      <w:tr w:rsidR="0081329D" w:rsidTr="006035A2">
        <w:tc>
          <w:tcPr>
            <w:tcW w:w="1809" w:type="dxa"/>
          </w:tcPr>
          <w:p w:rsidR="0081329D" w:rsidRPr="006035A2" w:rsidRDefault="0081329D" w:rsidP="00813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5A2">
              <w:rPr>
                <w:rFonts w:ascii="Times New Roman" w:hAnsi="Times New Roman" w:cs="Times New Roman"/>
                <w:sz w:val="22"/>
                <w:szCs w:val="22"/>
              </w:rPr>
              <w:t>N избирательного                         округа</w:t>
            </w:r>
          </w:p>
          <w:p w:rsidR="0081329D" w:rsidRPr="006035A2" w:rsidRDefault="0081329D" w:rsidP="00813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</w:tcPr>
          <w:p w:rsidR="0081329D" w:rsidRPr="006035A2" w:rsidRDefault="0081329D" w:rsidP="00813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35A2">
              <w:rPr>
                <w:rFonts w:ascii="Times New Roman" w:hAnsi="Times New Roman" w:cs="Times New Roman"/>
                <w:szCs w:val="22"/>
              </w:rPr>
              <w:t>Описание избирательного округа, место нахождения    окружной (территориальной) избирательной комиссии    (центр)</w:t>
            </w:r>
          </w:p>
        </w:tc>
        <w:tc>
          <w:tcPr>
            <w:tcW w:w="2409" w:type="dxa"/>
          </w:tcPr>
          <w:p w:rsidR="0081329D" w:rsidRPr="006035A2" w:rsidRDefault="0081329D" w:rsidP="00813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35A2">
              <w:rPr>
                <w:rFonts w:ascii="Times New Roman" w:hAnsi="Times New Roman" w:cs="Times New Roman"/>
                <w:szCs w:val="22"/>
              </w:rPr>
              <w:t>Число избирателей в округе</w:t>
            </w:r>
          </w:p>
          <w:p w:rsidR="0081329D" w:rsidRPr="006035A2" w:rsidRDefault="0081329D" w:rsidP="00813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35A2">
              <w:rPr>
                <w:rFonts w:ascii="Times New Roman" w:hAnsi="Times New Roman" w:cs="Times New Roman"/>
                <w:szCs w:val="22"/>
              </w:rPr>
              <w:t>(чел.)</w:t>
            </w:r>
          </w:p>
        </w:tc>
      </w:tr>
      <w:tr w:rsidR="00D3094E" w:rsidTr="006035A2">
        <w:tc>
          <w:tcPr>
            <w:tcW w:w="1809" w:type="dxa"/>
          </w:tcPr>
          <w:p w:rsidR="00686EF3" w:rsidRPr="006035A2" w:rsidRDefault="00686EF3" w:rsidP="0081329D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 </w:t>
            </w:r>
          </w:p>
        </w:tc>
        <w:tc>
          <w:tcPr>
            <w:tcW w:w="5529" w:type="dxa"/>
          </w:tcPr>
          <w:p w:rsidR="00D3094E" w:rsidRPr="006035A2" w:rsidRDefault="00D3094E" w:rsidP="00D3094E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Центр - здание администрац</w:t>
            </w:r>
            <w:r w:rsidR="006035A2"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ии территориального округа </w:t>
            </w:r>
            <w:proofErr w:type="spell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Варавино</w:t>
            </w:r>
            <w:proofErr w:type="spell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-Фактория, ул. Воронина д. 29, корп. 2 </w:t>
            </w:r>
          </w:p>
          <w:p w:rsidR="00D3094E" w:rsidRPr="006035A2" w:rsidRDefault="00D3094E" w:rsidP="00D3094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         </w:t>
            </w:r>
          </w:p>
          <w:p w:rsidR="00D3094E" w:rsidRPr="006035A2" w:rsidRDefault="00D3094E" w:rsidP="006035A2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Избирательный округ в границах:</w:t>
            </w:r>
            <w:r w:rsidRPr="006035A2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части территории территориального округа </w:t>
            </w:r>
            <w:proofErr w:type="spell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Варавино</w:t>
            </w:r>
            <w:proofErr w:type="spell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-Фактория город</w:t>
            </w:r>
            <w:r w:rsidR="006035A2">
              <w:rPr>
                <w:rFonts w:ascii="Times New Roman" w:hAnsi="Times New Roman" w:cs="Times New Roman"/>
                <w:sz w:val="27"/>
                <w:szCs w:val="27"/>
              </w:rPr>
              <w:t>а Архангельска: от берега реки</w:t>
            </w: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 Северной Двины, включая дома по ул. Заливной, до пр. Ленинградского, далее по пр. </w:t>
            </w:r>
            <w:proofErr w:type="gram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Ленинградскому (четная сторона до дома N 296), далее по внутриквартальному проезду вдоль домов N 273; 273, корп. 2 по             пр.</w:t>
            </w:r>
            <w:proofErr w:type="gram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Ленинградскому до дома N 29, корп. 2 по ул. Воронина В.И., далее по внутриквартальному проезду до дома N 35, корп. 1 (включая) по ул. Воронина В.И., далее вдоль дома</w:t>
            </w:r>
            <w:r w:rsidR="006035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N 35 (исключая) по ул. Воронина В.И. до реки </w:t>
            </w:r>
            <w:proofErr w:type="spell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Юрас</w:t>
            </w:r>
            <w:proofErr w:type="spell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, от берега реки </w:t>
            </w:r>
            <w:proofErr w:type="spell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Юрас</w:t>
            </w:r>
            <w:proofErr w:type="spell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 по ул. Дачной (четная сторона) до Окружного шоссе, по Окружному шоссе до ул. Папанина</w:t>
            </w:r>
            <w:proofErr w:type="gram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 (четная сторона) до берега реки Северной Двины; </w:t>
            </w:r>
            <w:proofErr w:type="gram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части территории территориального округа Майская горка города Архангельска: по ул. Папанина (нечетная сторона) до Окружного шоссе, по Окружному шоссе до ул. Дачной,</w:t>
            </w:r>
            <w:r w:rsidR="006035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далее по ул. Дачной (нечетная сторона) до берега реки </w:t>
            </w:r>
            <w:proofErr w:type="spell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Юрас</w:t>
            </w:r>
            <w:proofErr w:type="spell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, от берега реки </w:t>
            </w:r>
            <w:proofErr w:type="spell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Юрас</w:t>
            </w:r>
            <w:proofErr w:type="spell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 по ул. </w:t>
            </w:r>
            <w:proofErr w:type="spellStart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Пинежской</w:t>
            </w:r>
            <w:proofErr w:type="spellEnd"/>
            <w:r w:rsidR="006035A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ул. Приречной, ул. Луговой, далее по ул. Ленина, включая</w:t>
            </w:r>
            <w:r w:rsidR="006035A2"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жилые дома по у</w:t>
            </w:r>
            <w:bookmarkStart w:id="0" w:name="_GoBack"/>
            <w:bookmarkEnd w:id="0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л. Ленина, до бере</w:t>
            </w:r>
            <w:r w:rsidR="006035A2"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га реки Северной Двины,│ </w:t>
            </w: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>исключая о</w:t>
            </w:r>
            <w:proofErr w:type="gramEnd"/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. Краснофлотский                              </w:t>
            </w:r>
          </w:p>
          <w:p w:rsidR="00D3094E" w:rsidRPr="006035A2" w:rsidRDefault="00D3094E" w:rsidP="00D3094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D3094E" w:rsidRPr="006035A2" w:rsidRDefault="00D3094E" w:rsidP="0081329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35A2">
              <w:rPr>
                <w:rFonts w:ascii="Times New Roman" w:hAnsi="Times New Roman" w:cs="Times New Roman"/>
                <w:sz w:val="27"/>
                <w:szCs w:val="27"/>
              </w:rPr>
              <w:t xml:space="preserve">18625  </w:t>
            </w:r>
          </w:p>
        </w:tc>
      </w:tr>
    </w:tbl>
    <w:p w:rsidR="00D3094E" w:rsidRDefault="00D3094E">
      <w:pPr>
        <w:pStyle w:val="ConsPlusTitle"/>
        <w:jc w:val="center"/>
      </w:pPr>
    </w:p>
    <w:sectPr w:rsidR="00D3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3"/>
    <w:rsid w:val="001A7A63"/>
    <w:rsid w:val="006035A2"/>
    <w:rsid w:val="00686EF3"/>
    <w:rsid w:val="006E6257"/>
    <w:rsid w:val="0081329D"/>
    <w:rsid w:val="0085147C"/>
    <w:rsid w:val="00D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1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132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1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132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 Измикова</dc:creator>
  <cp:keywords/>
  <dc:description/>
  <cp:lastModifiedBy>Татьяна Валентиновна Измикова</cp:lastModifiedBy>
  <cp:revision>3</cp:revision>
  <dcterms:created xsi:type="dcterms:W3CDTF">2017-02-24T10:37:00Z</dcterms:created>
  <dcterms:modified xsi:type="dcterms:W3CDTF">2017-02-28T09:06:00Z</dcterms:modified>
</cp:coreProperties>
</file>