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E7" w:rsidRDefault="001352E7">
      <w:pPr>
        <w:widowControl w:val="0"/>
        <w:autoSpaceDE w:val="0"/>
        <w:autoSpaceDN w:val="0"/>
        <w:adjustRightInd w:val="0"/>
        <w:spacing w:after="0" w:line="240" w:lineRule="auto"/>
        <w:ind w:firstLine="540"/>
        <w:jc w:val="both"/>
        <w:outlineLvl w:val="0"/>
        <w:rPr>
          <w:rFonts w:ascii="Calibri" w:hAnsi="Calibri" w:cs="Calibri"/>
        </w:rPr>
      </w:pP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Орган местного самоуправления (заказчик) планирует проведение в 2014 г. открытого конкурса на право заключения контракта на поставку оборудования. Правомерно ли указание заказчиком в конкурсной документации условия о том, что обеспечение исполнения контракта возвращается только после истечения гарантийного срока на товары, являющиеся предметом открытого конкурса? Если правомерно, необходимо ли заказчику включить указанное условие в контракт, заключаемый с победителем конкурса?</w:t>
      </w:r>
    </w:p>
    <w:p w:rsidR="001352E7" w:rsidRDefault="001352E7">
      <w:pPr>
        <w:widowControl w:val="0"/>
        <w:autoSpaceDE w:val="0"/>
        <w:autoSpaceDN w:val="0"/>
        <w:adjustRightInd w:val="0"/>
        <w:spacing w:after="0" w:line="240" w:lineRule="auto"/>
        <w:ind w:firstLine="540"/>
        <w:jc w:val="both"/>
        <w:rPr>
          <w:rFonts w:ascii="Calibri" w:hAnsi="Calibri" w:cs="Calibri"/>
        </w:rPr>
      </w:pP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По нашему мнению, заказчик вправе указать в конкурсной документации условие о том, что обеспечение исполнения контракта возвращается только после истечения гарантийного срока на товары, являющиеся предметом открытого конкурса. Указанное условие, в случае если оно предусмотрено конкурсной документацией, подлежит обязательному включению в контракт, заключаемый с победителем конкурса, если иное не будет предусмотрено требованиями к содержанию, составу, порядку разработки типовой конкурсной документации, установленными Правительством РФ.</w:t>
      </w:r>
    </w:p>
    <w:p w:rsidR="001352E7" w:rsidRDefault="001352E7">
      <w:pPr>
        <w:widowControl w:val="0"/>
        <w:autoSpaceDE w:val="0"/>
        <w:autoSpaceDN w:val="0"/>
        <w:adjustRightInd w:val="0"/>
        <w:spacing w:after="0" w:line="240" w:lineRule="auto"/>
        <w:ind w:firstLine="540"/>
        <w:jc w:val="both"/>
        <w:rPr>
          <w:rFonts w:ascii="Calibri" w:hAnsi="Calibri" w:cs="Calibri"/>
        </w:rPr>
      </w:pP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С 01.01.2014 вступает в силу Федеральный </w:t>
      </w:r>
      <w:hyperlink r:id="rId5" w:history="1">
        <w:r>
          <w:rPr>
            <w:rFonts w:ascii="Calibri" w:hAnsi="Calibri" w:cs="Calibri"/>
            <w:color w:val="0000FF"/>
          </w:rPr>
          <w:t>закон</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и утрачивают силу положения Федерального </w:t>
      </w:r>
      <w:hyperlink r:id="rId6" w:history="1">
        <w:r>
          <w:rPr>
            <w:rFonts w:ascii="Calibri" w:hAnsi="Calibri" w:cs="Calibri"/>
            <w:color w:val="0000FF"/>
          </w:rPr>
          <w:t>закона</w:t>
        </w:r>
      </w:hyperlink>
      <w:r>
        <w:rPr>
          <w:rFonts w:ascii="Calibri" w:hAnsi="Calibri" w:cs="Calibri"/>
        </w:rPr>
        <w:t xml:space="preserve"> от 21.07.2005 N 94-ФЗ "О размещении заказов на поставки товаров, выполнение работ, оказание услуг для государственных и муниципальных нужд" (далее - Закон N 94-ФЗ).</w:t>
      </w:r>
      <w:proofErr w:type="gramEnd"/>
    </w:p>
    <w:p w:rsidR="001352E7" w:rsidRDefault="001352E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 основании </w:t>
      </w:r>
      <w:hyperlink r:id="rId7" w:history="1">
        <w:r>
          <w:rPr>
            <w:rFonts w:ascii="Calibri" w:hAnsi="Calibri" w:cs="Calibri"/>
            <w:color w:val="0000FF"/>
          </w:rPr>
          <w:t>ч. 4 ст. 33</w:t>
        </w:r>
      </w:hyperlink>
      <w:r>
        <w:rPr>
          <w:rFonts w:ascii="Calibri" w:hAnsi="Calibri" w:cs="Calibri"/>
        </w:rPr>
        <w:t xml:space="preserve"> Закона N 44-ФЗ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roofErr w:type="gramEnd"/>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РФ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 (</w:t>
      </w:r>
      <w:hyperlink r:id="rId8" w:history="1">
        <w:r>
          <w:rPr>
            <w:rFonts w:ascii="Calibri" w:hAnsi="Calibri" w:cs="Calibri"/>
            <w:color w:val="0000FF"/>
          </w:rPr>
          <w:t>ч. 4 ст. 48</w:t>
        </w:r>
      </w:hyperlink>
      <w:r>
        <w:rPr>
          <w:rFonts w:ascii="Calibri" w:hAnsi="Calibri" w:cs="Calibri"/>
        </w:rPr>
        <w:t xml:space="preserve"> Закона N 44-ФЗ).</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9" w:history="1">
        <w:r>
          <w:rPr>
            <w:rFonts w:ascii="Calibri" w:hAnsi="Calibri" w:cs="Calibri"/>
            <w:color w:val="0000FF"/>
          </w:rPr>
          <w:t>п. 1 ст. 471</w:t>
        </w:r>
      </w:hyperlink>
      <w:r>
        <w:rPr>
          <w:rFonts w:ascii="Calibri" w:hAnsi="Calibri" w:cs="Calibri"/>
        </w:rPr>
        <w:t xml:space="preserve"> Гражданского кодекса РФ гарантийный срок начинает течь с момента передачи товара покупателю (</w:t>
      </w:r>
      <w:hyperlink r:id="rId10" w:history="1">
        <w:r>
          <w:rPr>
            <w:rFonts w:ascii="Calibri" w:hAnsi="Calibri" w:cs="Calibri"/>
            <w:color w:val="0000FF"/>
          </w:rPr>
          <w:t>ст. 457</w:t>
        </w:r>
      </w:hyperlink>
      <w:r>
        <w:rPr>
          <w:rFonts w:ascii="Calibri" w:hAnsi="Calibri" w:cs="Calibri"/>
        </w:rPr>
        <w:t xml:space="preserve"> ГК РФ), если иное не предусмотрено договором купли-продажи.</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п. 2 ст. 476</w:t>
        </w:r>
      </w:hyperlink>
      <w:r>
        <w:rPr>
          <w:rFonts w:ascii="Calibri" w:hAnsi="Calibri" w:cs="Calibri"/>
        </w:rPr>
        <w:t xml:space="preserve"> ГК РФ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следует из </w:t>
      </w:r>
      <w:hyperlink r:id="rId12" w:history="1">
        <w:r>
          <w:rPr>
            <w:rFonts w:ascii="Calibri" w:hAnsi="Calibri" w:cs="Calibri"/>
            <w:color w:val="0000FF"/>
          </w:rPr>
          <w:t>п. 3 ст. 477</w:t>
        </w:r>
      </w:hyperlink>
      <w:r>
        <w:rPr>
          <w:rFonts w:ascii="Calibri" w:hAnsi="Calibri" w:cs="Calibri"/>
        </w:rPr>
        <w:t xml:space="preserve"> ГК РФ,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3" w:history="1">
        <w:r>
          <w:rPr>
            <w:rFonts w:ascii="Calibri" w:hAnsi="Calibri" w:cs="Calibri"/>
            <w:color w:val="0000FF"/>
          </w:rPr>
          <w:t>п. 28</w:t>
        </w:r>
      </w:hyperlink>
      <w:r>
        <w:rPr>
          <w:rFonts w:ascii="Calibri" w:hAnsi="Calibri" w:cs="Calibri"/>
        </w:rPr>
        <w:t xml:space="preserve"> Приложения к Письму Казначейства России от 02.07.2012 N 42-7.4-05/6.3-354 следует: одним из обязательств исполнителя по государственному контракту является исполнение гарантийных обязательств в течение гарантийного срока. Учитывая, что гарантийное обслуживание поставленных товаров является одним из обязательств исполнителя по контракту, а обеспечение исполнения контракта, в соответствии с положениями документации, распространяет свое действие на все обязательства исполнителя, возврат обеспечения исполнения контракта возможен только по истечении гарантийного срока на поставленные товары, если иное не предусмотрено государственным контрактом или договором.</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Отметим, что указанное </w:t>
      </w:r>
      <w:hyperlink r:id="rId14" w:history="1">
        <w:r>
          <w:rPr>
            <w:rFonts w:ascii="Calibri" w:hAnsi="Calibri" w:cs="Calibri"/>
            <w:color w:val="0000FF"/>
          </w:rPr>
          <w:t>Письмо</w:t>
        </w:r>
      </w:hyperlink>
      <w:r>
        <w:rPr>
          <w:rFonts w:ascii="Calibri" w:hAnsi="Calibri" w:cs="Calibri"/>
        </w:rPr>
        <w:t xml:space="preserve"> разъясняет порядок правового регулирования правоотношений </w:t>
      </w:r>
      <w:hyperlink r:id="rId15" w:history="1">
        <w:r>
          <w:rPr>
            <w:rFonts w:ascii="Calibri" w:hAnsi="Calibri" w:cs="Calibri"/>
            <w:color w:val="0000FF"/>
          </w:rPr>
          <w:t>Законом</w:t>
        </w:r>
      </w:hyperlink>
      <w:r>
        <w:rPr>
          <w:rFonts w:ascii="Calibri" w:hAnsi="Calibri" w:cs="Calibri"/>
        </w:rPr>
        <w:t xml:space="preserve"> N 94-ФЗ.</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по нашему мнению, указанный вывод можно применить по аналогии к </w:t>
      </w:r>
      <w:r>
        <w:rPr>
          <w:rFonts w:ascii="Calibri" w:hAnsi="Calibri" w:cs="Calibri"/>
        </w:rPr>
        <w:lastRenderedPageBreak/>
        <w:t xml:space="preserve">правоотношениям, регулируемым с 01.01.2014 </w:t>
      </w:r>
      <w:hyperlink r:id="rId16" w:history="1">
        <w:r>
          <w:rPr>
            <w:rFonts w:ascii="Calibri" w:hAnsi="Calibri" w:cs="Calibri"/>
            <w:color w:val="0000FF"/>
          </w:rPr>
          <w:t>Законом</w:t>
        </w:r>
      </w:hyperlink>
      <w:r>
        <w:rPr>
          <w:rFonts w:ascii="Calibri" w:hAnsi="Calibri" w:cs="Calibri"/>
        </w:rPr>
        <w:t xml:space="preserve"> N 44-ФЗ, так как они также </w:t>
      </w:r>
      <w:proofErr w:type="gramStart"/>
      <w:r>
        <w:rPr>
          <w:rFonts w:ascii="Calibri" w:hAnsi="Calibri" w:cs="Calibri"/>
        </w:rPr>
        <w:t>основываются</w:t>
      </w:r>
      <w:proofErr w:type="gramEnd"/>
      <w:r>
        <w:rPr>
          <w:rFonts w:ascii="Calibri" w:hAnsi="Calibri" w:cs="Calibri"/>
        </w:rPr>
        <w:t xml:space="preserve"> в том числе на положениях </w:t>
      </w:r>
      <w:hyperlink r:id="rId17" w:history="1">
        <w:r>
          <w:rPr>
            <w:rFonts w:ascii="Calibri" w:hAnsi="Calibri" w:cs="Calibri"/>
            <w:color w:val="0000FF"/>
          </w:rPr>
          <w:t>ГК</w:t>
        </w:r>
      </w:hyperlink>
      <w:r>
        <w:rPr>
          <w:rFonts w:ascii="Calibri" w:hAnsi="Calibri" w:cs="Calibri"/>
        </w:rPr>
        <w:t xml:space="preserve"> РФ, действующих как до, так и после 01.01.2014. В свою очередь, </w:t>
      </w:r>
      <w:hyperlink r:id="rId18" w:history="1">
        <w:r>
          <w:rPr>
            <w:rFonts w:ascii="Calibri" w:hAnsi="Calibri" w:cs="Calibri"/>
            <w:color w:val="0000FF"/>
          </w:rPr>
          <w:t>Законом</w:t>
        </w:r>
      </w:hyperlink>
      <w:r>
        <w:rPr>
          <w:rFonts w:ascii="Calibri" w:hAnsi="Calibri" w:cs="Calibri"/>
        </w:rPr>
        <w:t xml:space="preserve"> N 44-ФЗ не предусмотрен запрет на установление в конкурсной документации условия о том, что обеспечение исполнения контракта возвращается только после истечения гарантийного срока на товары.</w:t>
      </w:r>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9" w:history="1">
        <w:r>
          <w:rPr>
            <w:rFonts w:ascii="Calibri" w:hAnsi="Calibri" w:cs="Calibri"/>
            <w:color w:val="0000FF"/>
          </w:rPr>
          <w:t>ч. 1 ст. 34</w:t>
        </w:r>
      </w:hyperlink>
      <w:r>
        <w:rPr>
          <w:rFonts w:ascii="Calibri" w:hAnsi="Calibri" w:cs="Calibri"/>
        </w:rP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1352E7" w:rsidRDefault="001352E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20" w:history="1">
        <w:r>
          <w:rPr>
            <w:rFonts w:ascii="Calibri" w:hAnsi="Calibri" w:cs="Calibri"/>
            <w:color w:val="0000FF"/>
          </w:rPr>
          <w:t>ч. 27 ст. 34</w:t>
        </w:r>
      </w:hyperlink>
      <w:r>
        <w:rPr>
          <w:rFonts w:ascii="Calibri" w:hAnsi="Calibri" w:cs="Calibri"/>
        </w:rPr>
        <w:t xml:space="preserve"> Закона N 44-ФЗ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roofErr w:type="gramEnd"/>
    </w:p>
    <w:p w:rsidR="001352E7" w:rsidRDefault="001352E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Следовательно, в рассматриваемом вопросе заказчик вправе указать в конкурсной документации условие о том, что обеспечение исполнения контракта возвращается только после истечения гарантийного срока на товары, являющиеся предметом открытого конкурса. Указанное условие, в случае если оно предусмотрено конкурсной документацией, подлежит обязательному включению в контракт, заключаемый с победителем конкурса, если иное не будет предусмотрено требованиями к содержанию, составу, порядку разработки типовой конкурсной документации, установленными Правительством РФ.</w:t>
      </w:r>
    </w:p>
    <w:p w:rsidR="001352E7" w:rsidRDefault="001352E7">
      <w:pPr>
        <w:widowControl w:val="0"/>
        <w:autoSpaceDE w:val="0"/>
        <w:autoSpaceDN w:val="0"/>
        <w:adjustRightInd w:val="0"/>
        <w:spacing w:after="0" w:line="240" w:lineRule="auto"/>
        <w:jc w:val="both"/>
        <w:rPr>
          <w:rFonts w:ascii="Calibri" w:hAnsi="Calibri" w:cs="Calibri"/>
        </w:rPr>
      </w:pPr>
    </w:p>
    <w:p w:rsidR="001352E7" w:rsidRDefault="001352E7">
      <w:pPr>
        <w:widowControl w:val="0"/>
        <w:autoSpaceDE w:val="0"/>
        <w:autoSpaceDN w:val="0"/>
        <w:adjustRightInd w:val="0"/>
        <w:spacing w:after="0" w:line="240" w:lineRule="auto"/>
        <w:jc w:val="right"/>
        <w:rPr>
          <w:rFonts w:ascii="Calibri" w:hAnsi="Calibri" w:cs="Calibri"/>
        </w:rPr>
      </w:pPr>
      <w:r>
        <w:rPr>
          <w:rFonts w:ascii="Calibri" w:hAnsi="Calibri" w:cs="Calibri"/>
        </w:rPr>
        <w:t>П.С.Долгополов</w:t>
      </w:r>
    </w:p>
    <w:p w:rsidR="001352E7" w:rsidRDefault="001352E7">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1352E7" w:rsidRDefault="001352E7">
      <w:pPr>
        <w:widowControl w:val="0"/>
        <w:autoSpaceDE w:val="0"/>
        <w:autoSpaceDN w:val="0"/>
        <w:adjustRightInd w:val="0"/>
        <w:spacing w:after="0" w:line="240" w:lineRule="auto"/>
        <w:rPr>
          <w:rFonts w:ascii="Calibri" w:hAnsi="Calibri" w:cs="Calibri"/>
        </w:rPr>
      </w:pPr>
      <w:r>
        <w:rPr>
          <w:rFonts w:ascii="Calibri" w:hAnsi="Calibri" w:cs="Calibri"/>
        </w:rPr>
        <w:t>26.07.2013</w:t>
      </w:r>
    </w:p>
    <w:p w:rsidR="001352E7" w:rsidRDefault="001352E7">
      <w:pPr>
        <w:widowControl w:val="0"/>
        <w:autoSpaceDE w:val="0"/>
        <w:autoSpaceDN w:val="0"/>
        <w:adjustRightInd w:val="0"/>
        <w:spacing w:after="0" w:line="240" w:lineRule="auto"/>
        <w:ind w:firstLine="540"/>
        <w:jc w:val="both"/>
        <w:rPr>
          <w:rFonts w:ascii="Calibri" w:hAnsi="Calibri" w:cs="Calibri"/>
        </w:rPr>
      </w:pPr>
    </w:p>
    <w:p w:rsidR="001352E7" w:rsidRDefault="001352E7">
      <w:pPr>
        <w:widowControl w:val="0"/>
        <w:autoSpaceDE w:val="0"/>
        <w:autoSpaceDN w:val="0"/>
        <w:adjustRightInd w:val="0"/>
        <w:spacing w:after="0" w:line="240" w:lineRule="auto"/>
        <w:ind w:firstLine="540"/>
        <w:jc w:val="both"/>
        <w:rPr>
          <w:rFonts w:ascii="Calibri" w:hAnsi="Calibri" w:cs="Calibri"/>
        </w:rPr>
      </w:pPr>
    </w:p>
    <w:p w:rsidR="001352E7" w:rsidRDefault="001352E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34F3A" w:rsidRDefault="00034F3A">
      <w:bookmarkStart w:id="0" w:name="_GoBack"/>
      <w:bookmarkEnd w:id="0"/>
    </w:p>
    <w:sectPr w:rsidR="00034F3A" w:rsidSect="00DE6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E7"/>
    <w:rsid w:val="00034F3A"/>
    <w:rsid w:val="0013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24ED88DF6370FC9053A57DA69E407F590EC21256057D3AC9DD293F6784AB26DDBB36B5F6F091662Fw3H" TargetMode="External"/><Relationship Id="rId13" Type="http://schemas.openxmlformats.org/officeDocument/2006/relationships/hyperlink" Target="consultantplus://offline/ref=C024ED88DF6370FC9053A57DA69E407F5909C81552047D3AC9DD293F6784AB26DDBB36B5F6F0946B2Fw0H" TargetMode="External"/><Relationship Id="rId18" Type="http://schemas.openxmlformats.org/officeDocument/2006/relationships/hyperlink" Target="consultantplus://offline/ref=C024ED88DF6370FC9053A57DA69E407F590EC21256057D3AC9DD293F6784AB26DDBB36B5F6F096682Fw7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024ED88DF6370FC9053A57DA69E407F590EC21256057D3AC9DD293F6784AB26DDBB36B5F6F097672Fw3H" TargetMode="External"/><Relationship Id="rId12" Type="http://schemas.openxmlformats.org/officeDocument/2006/relationships/hyperlink" Target="consultantplus://offline/ref=C024ED88DF6370FC9053A57DA69E407F590EC81653027D3AC9DD293F6784AB26DDBB36B5F6F0956F2FwDH" TargetMode="External"/><Relationship Id="rId17" Type="http://schemas.openxmlformats.org/officeDocument/2006/relationships/hyperlink" Target="consultantplus://offline/ref=C024ED88DF6370FC9053A57DA69E407F590EC21256077D3AC9DD293F6728w4H" TargetMode="External"/><Relationship Id="rId2" Type="http://schemas.microsoft.com/office/2007/relationships/stylesWithEffects" Target="stylesWithEffects.xml"/><Relationship Id="rId16" Type="http://schemas.openxmlformats.org/officeDocument/2006/relationships/hyperlink" Target="consultantplus://offline/ref=C024ED88DF6370FC9053A57DA69E407F590EC21256057D3AC9DD293F6728w4H" TargetMode="External"/><Relationship Id="rId20" Type="http://schemas.openxmlformats.org/officeDocument/2006/relationships/hyperlink" Target="consultantplus://offline/ref=C024ED88DF6370FC9053A57DA69E407F590EC21256057D3AC9DD293F6784AB26DDBB36B5F6F0906C2Fw3H" TargetMode="External"/><Relationship Id="rId1" Type="http://schemas.openxmlformats.org/officeDocument/2006/relationships/styles" Target="styles.xml"/><Relationship Id="rId6" Type="http://schemas.openxmlformats.org/officeDocument/2006/relationships/hyperlink" Target="consultantplus://offline/ref=C024ED88DF6370FC9053A57DA69E407F590EC21F5C077D3AC9DD293F6728w4H" TargetMode="External"/><Relationship Id="rId11" Type="http://schemas.openxmlformats.org/officeDocument/2006/relationships/hyperlink" Target="consultantplus://offline/ref=C024ED88DF6370FC9053A57DA69E407F590EC81653027D3AC9DD293F6784AB26DDBB36B5F6F0956F2Fw1H" TargetMode="External"/><Relationship Id="rId5" Type="http://schemas.openxmlformats.org/officeDocument/2006/relationships/hyperlink" Target="consultantplus://offline/ref=C024ED88DF6370FC9053A57DA69E407F590EC21256057D3AC9DD293F6784AB26DDBB36B5F6F192692Fw1H" TargetMode="External"/><Relationship Id="rId15" Type="http://schemas.openxmlformats.org/officeDocument/2006/relationships/hyperlink" Target="consultantplus://offline/ref=C024ED88DF6370FC9053A57DA69E407F590EC21F5C077D3AC9DD293F6728w4H" TargetMode="External"/><Relationship Id="rId10" Type="http://schemas.openxmlformats.org/officeDocument/2006/relationships/hyperlink" Target="consultantplus://offline/ref=C024ED88DF6370FC9053A57DA69E407F590EC81653027D3AC9DD293F6784AB26DDBB36B5F6F0946C2Fw7H" TargetMode="External"/><Relationship Id="rId19" Type="http://schemas.openxmlformats.org/officeDocument/2006/relationships/hyperlink" Target="consultantplus://offline/ref=C024ED88DF6370FC9053A57DA69E407F590EC21256057D3AC9DD293F6784AB26DDBB36B5F6F0906E2Fw5H" TargetMode="External"/><Relationship Id="rId4" Type="http://schemas.openxmlformats.org/officeDocument/2006/relationships/webSettings" Target="webSettings.xml"/><Relationship Id="rId9" Type="http://schemas.openxmlformats.org/officeDocument/2006/relationships/hyperlink" Target="consultantplus://offline/ref=C024ED88DF6370FC9053A57DA69E407F590EC81653027D3AC9DD293F6784AB26DDBB36B5F6F094662Fw2H" TargetMode="External"/><Relationship Id="rId14" Type="http://schemas.openxmlformats.org/officeDocument/2006/relationships/hyperlink" Target="consultantplus://offline/ref=C024ED88DF6370FC9053A57DA69E407F5909C81552047D3AC9DD293F6728w4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2014-01-29T07:48:00Z</dcterms:created>
  <dcterms:modified xsi:type="dcterms:W3CDTF">2014-01-29T07:49:00Z</dcterms:modified>
</cp:coreProperties>
</file>