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8C" w:rsidRDefault="0007008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7008C" w:rsidRDefault="0007008C">
      <w:pPr>
        <w:pStyle w:val="ConsPlusNormal"/>
        <w:jc w:val="both"/>
        <w:outlineLvl w:val="0"/>
      </w:pPr>
    </w:p>
    <w:p w:rsidR="0007008C" w:rsidRDefault="0007008C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Title"/>
        <w:jc w:val="center"/>
      </w:pPr>
      <w:r>
        <w:t>ЧТО ИЗМЕНИТСЯ ДЛЯ УЧАСТНИКОВ ГОСЗАКУПОК С 1 ИЮЛЯ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28.06.2019.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Normal"/>
        <w:ind w:firstLine="540"/>
        <w:jc w:val="both"/>
      </w:pPr>
      <w:r>
        <w:t xml:space="preserve">1 июля вступят в силу существенные поправки к </w:t>
      </w:r>
      <w:hyperlink r:id="rId6" w:history="1">
        <w:r>
          <w:rPr>
            <w:color w:val="0000FF"/>
          </w:rPr>
          <w:t>Закону</w:t>
        </w:r>
      </w:hyperlink>
      <w:r>
        <w:t xml:space="preserve"> N 44-ФЗ. Под гарантийные обязательства придется предоставлять отдельное обеспечение, станет проще участвовать в "строительных аукционах", к закупкам с доптребованиями придется готовиться заранее. Расскажем подробнее об основных изменениях.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Title"/>
        <w:ind w:firstLine="540"/>
        <w:jc w:val="both"/>
        <w:outlineLvl w:val="0"/>
      </w:pPr>
      <w:r>
        <w:t>Обеспечение исполнения контракта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Title"/>
        <w:ind w:firstLine="540"/>
        <w:jc w:val="both"/>
        <w:outlineLvl w:val="1"/>
      </w:pPr>
      <w:r>
        <w:t>Сроки действия гарантии и возврата денег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Участник будет </w:t>
      </w:r>
      <w:hyperlink r:id="rId7" w:history="1">
        <w:r>
          <w:rPr>
            <w:color w:val="0000FF"/>
          </w:rPr>
          <w:t>сам</w:t>
        </w:r>
      </w:hyperlink>
      <w:r>
        <w:t xml:space="preserve"> определять продолжительность действия банковской гарантии. Учтите, что она должна превышать срок исполнения контракта минимум на 1 месяц.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Поправки закрепили предельный срок, в который заказчик должен будет вернуть деньги исполнителю. Он </w:t>
      </w:r>
      <w:hyperlink r:id="rId8" w:history="1">
        <w:r>
          <w:rPr>
            <w:color w:val="0000FF"/>
          </w:rPr>
          <w:t>не должен превышать</w:t>
        </w:r>
      </w:hyperlink>
      <w:r>
        <w:t xml:space="preserve"> 30 дней </w:t>
      </w:r>
      <w:proofErr w:type="gramStart"/>
      <w:r>
        <w:t>с даты исполнения</w:t>
      </w:r>
      <w:proofErr w:type="gramEnd"/>
      <w:r>
        <w:t xml:space="preserve"> обязательств, а для закупок у СМП и СОНКО - 15 дней. Конкретный срок будут по-прежнему указывать в контракте.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Title"/>
        <w:ind w:firstLine="540"/>
        <w:jc w:val="both"/>
        <w:outlineLvl w:val="1"/>
      </w:pPr>
      <w:r>
        <w:t>Уменьшение обеспечения при частичном исполнении и замена при отзыве лицензии у гаранта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При своевременном и добросовестном исполнении контракта обеспечение </w:t>
      </w:r>
      <w:hyperlink r:id="rId9" w:history="1">
        <w:r>
          <w:rPr>
            <w:color w:val="0000FF"/>
          </w:rPr>
          <w:t>уменьшат</w:t>
        </w:r>
      </w:hyperlink>
      <w:r>
        <w:t xml:space="preserve"> пропорционально выполненному обязательству. Если речь идет о деньгах, заказчик вернет часть суммы, если о гарантии - откажется от части прав по ней. По соглашению сторон это правило можно будет </w:t>
      </w:r>
      <w:hyperlink r:id="rId10" w:history="1">
        <w:r>
          <w:rPr>
            <w:color w:val="0000FF"/>
          </w:rPr>
          <w:t>распространить</w:t>
        </w:r>
      </w:hyperlink>
      <w:r>
        <w:t xml:space="preserve"> и на контракты, заключенные до 1 июля 2019 года.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Выбирая банк-гарант, учтите: если у него отзовут лицензию, вам </w:t>
      </w:r>
      <w:hyperlink r:id="rId11" w:history="1">
        <w:r>
          <w:rPr>
            <w:color w:val="0000FF"/>
          </w:rPr>
          <w:t>придется предоставить</w:t>
        </w:r>
      </w:hyperlink>
      <w:r>
        <w:t xml:space="preserve"> новое обеспечение. Сделать это нужно будет в течение месяца со дня получения уведомления от заказчика. За просрочку начислят </w:t>
      </w:r>
      <w:hyperlink r:id="rId12" w:history="1">
        <w:r>
          <w:rPr>
            <w:color w:val="0000FF"/>
          </w:rPr>
          <w:t>пени</w:t>
        </w:r>
      </w:hyperlink>
      <w:r>
        <w:t>.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Title"/>
        <w:ind w:firstLine="540"/>
        <w:jc w:val="both"/>
        <w:outlineLvl w:val="1"/>
      </w:pPr>
      <w:r>
        <w:t>Льготы для СМП и СОНКО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Если закупка проводится только среди СМП и СОНКО, размер обеспечения контракта </w:t>
      </w:r>
      <w:hyperlink r:id="rId13" w:history="1">
        <w:r>
          <w:rPr>
            <w:color w:val="0000FF"/>
          </w:rPr>
          <w:t>посчитают</w:t>
        </w:r>
      </w:hyperlink>
      <w:r>
        <w:t xml:space="preserve"> от цены контракта, а не от НМЦК. Однако обеспечение не должно быть меньше аванса.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У победителя будет также возможность вовсе </w:t>
      </w:r>
      <w:hyperlink r:id="rId14" w:history="1">
        <w:r>
          <w:rPr>
            <w:color w:val="0000FF"/>
          </w:rPr>
          <w:t>не предоставлять обеспечение</w:t>
        </w:r>
      </w:hyperlink>
      <w:r>
        <w:t>. Для этого нужно направить заказчику информацию из реестра контрактов, подтверждающую, что в течение трех лет до подачи заявки исполнили три контракта без штрафов и пеней. Общая сумма контрактов должна быть не менее НМЦК.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Title"/>
        <w:ind w:firstLine="540"/>
        <w:jc w:val="both"/>
        <w:outlineLvl w:val="1"/>
      </w:pPr>
      <w:r>
        <w:t>Обеспечение гарантийных обязательств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При подаче заявки проверьте, не требует ли заказчик обеспечить гарантийные обязательства. Эта информация </w:t>
      </w:r>
      <w:hyperlink r:id="rId15" w:history="1">
        <w:r>
          <w:rPr>
            <w:color w:val="0000FF"/>
          </w:rPr>
          <w:t>будет</w:t>
        </w:r>
      </w:hyperlink>
      <w:r>
        <w:t xml:space="preserve"> в проекте контракта. Размер обеспечения может составлять </w:t>
      </w:r>
      <w:hyperlink r:id="rId16" w:history="1">
        <w:r>
          <w:rPr>
            <w:color w:val="0000FF"/>
          </w:rPr>
          <w:t>до 10% НМЦК</w:t>
        </w:r>
      </w:hyperlink>
      <w:r>
        <w:t xml:space="preserve">. Можно будет самостоятельно выбрать способ обеспечения: </w:t>
      </w:r>
      <w:hyperlink r:id="rId17" w:history="1">
        <w:r>
          <w:rPr>
            <w:color w:val="0000FF"/>
          </w:rPr>
          <w:t>банковская гарантия или деньги</w:t>
        </w:r>
      </w:hyperlink>
      <w:r>
        <w:t>.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lastRenderedPageBreak/>
        <w:t xml:space="preserve">Если не предоставить обеспечение, заказчик </w:t>
      </w:r>
      <w:hyperlink r:id="rId18" w:history="1">
        <w:r>
          <w:rPr>
            <w:color w:val="0000FF"/>
          </w:rPr>
          <w:t>не подпишет</w:t>
        </w:r>
      </w:hyperlink>
      <w:r>
        <w:t xml:space="preserve"> итоговый документ о приемке, а значит, не заплатит.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Title"/>
        <w:ind w:firstLine="540"/>
        <w:jc w:val="both"/>
        <w:outlineLvl w:val="0"/>
      </w:pPr>
      <w:r>
        <w:t>Участие в закупках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Title"/>
        <w:ind w:firstLine="540"/>
        <w:jc w:val="both"/>
        <w:outlineLvl w:val="1"/>
      </w:pPr>
      <w:r>
        <w:t>К закупкам с доптребованиями придется готовиться заранее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Для участия в закупках с дополнительными требованиями нужно будет </w:t>
      </w:r>
      <w:hyperlink r:id="rId19" w:history="1">
        <w:r>
          <w:rPr>
            <w:color w:val="0000FF"/>
          </w:rPr>
          <w:t>направлять</w:t>
        </w:r>
      </w:hyperlink>
      <w:r>
        <w:t xml:space="preserve"> операторам площадок документы, подтверждающие соответствие этим требованиям. Лучше делать это заранее, так как у оператора будет </w:t>
      </w:r>
      <w:hyperlink r:id="rId20" w:history="1">
        <w:r>
          <w:rPr>
            <w:color w:val="0000FF"/>
          </w:rPr>
          <w:t>5 рабочих дней</w:t>
        </w:r>
      </w:hyperlink>
      <w:r>
        <w:t xml:space="preserve"> на проверку сведений.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Вероятно, это новшество не заработает с 1 июля, поскольку еще нет правил о том, как передавать документы. Минфин пока только подготовил </w:t>
      </w:r>
      <w:hyperlink r:id="rId21" w:history="1">
        <w:r>
          <w:rPr>
            <w:color w:val="0000FF"/>
          </w:rPr>
          <w:t>проект документа</w:t>
        </w:r>
      </w:hyperlink>
      <w:r>
        <w:t>.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>Участникам, которые еще не зарегистрировались в ЕИС, целесообразно пройти процедуру сейчас. Минфин считает https://www.minfin.ru/ru/document/?id_4=127745&amp;page_id=2104&amp;popup=Y&amp;area_id=4, что это обязательное условие для участия в закупках с доптребованиями.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Title"/>
        <w:ind w:firstLine="540"/>
        <w:jc w:val="both"/>
        <w:outlineLvl w:val="1"/>
      </w:pPr>
      <w:r>
        <w:t>Станет проще участвовать в большинстве строительных аукционов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В большинстве случаев в документацию строительной закупки будут включать </w:t>
      </w:r>
      <w:hyperlink r:id="rId22" w:history="1">
        <w:r>
          <w:rPr>
            <w:color w:val="0000FF"/>
          </w:rPr>
          <w:t>проект</w:t>
        </w:r>
      </w:hyperlink>
      <w:r>
        <w:t xml:space="preserve">. В такой ситуации в первой части заявки потребуется только </w:t>
      </w:r>
      <w:hyperlink r:id="rId23" w:history="1">
        <w:r>
          <w:rPr>
            <w:color w:val="0000FF"/>
          </w:rPr>
          <w:t>согласие</w:t>
        </w:r>
      </w:hyperlink>
      <w:r>
        <w:t xml:space="preserve"> на выполнение работ. Площадка автоматически допустит все заявки к участию. Учитывайте, что эти аукционы будут начинаться </w:t>
      </w:r>
      <w:hyperlink r:id="rId24" w:history="1">
        <w:r>
          <w:rPr>
            <w:color w:val="0000FF"/>
          </w:rPr>
          <w:t>через 4 часа</w:t>
        </w:r>
      </w:hyperlink>
      <w:r>
        <w:t xml:space="preserve"> после окончания срока подачи заявок.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Title"/>
        <w:ind w:firstLine="540"/>
        <w:jc w:val="both"/>
        <w:outlineLvl w:val="1"/>
      </w:pPr>
      <w:r>
        <w:t>Ужесточат антидемпинговые меры</w:t>
      </w:r>
    </w:p>
    <w:p w:rsidR="0007008C" w:rsidRDefault="0007008C">
      <w:pPr>
        <w:pStyle w:val="ConsPlusNormal"/>
        <w:spacing w:before="220"/>
        <w:ind w:firstLine="540"/>
        <w:jc w:val="both"/>
      </w:pPr>
      <w:r>
        <w:t xml:space="preserve">Если предложите цену на 25 и больше процентов ниже, чем НМЦК, </w:t>
      </w:r>
      <w:hyperlink r:id="rId25" w:history="1">
        <w:r>
          <w:rPr>
            <w:color w:val="0000FF"/>
          </w:rPr>
          <w:t>не получите аванс</w:t>
        </w:r>
      </w:hyperlink>
      <w:r>
        <w:t>.</w:t>
      </w: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Normal"/>
        <w:ind w:firstLine="540"/>
        <w:jc w:val="both"/>
      </w:pPr>
    </w:p>
    <w:p w:rsidR="0007008C" w:rsidRDefault="000700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AA0" w:rsidRDefault="00E76AA0">
      <w:bookmarkStart w:id="0" w:name="_GoBack"/>
      <w:bookmarkEnd w:id="0"/>
    </w:p>
    <w:sectPr w:rsidR="00E76AA0" w:rsidSect="00755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8C"/>
    <w:rsid w:val="0007008C"/>
    <w:rsid w:val="00E7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0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0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0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DA2B97D8D5C41B1681F3860613FED484644D8F2667176910E6148B244988256E6508E7F24747DC3F5B668C046680B0C851A5A6D93761S7I" TargetMode="External"/><Relationship Id="rId13" Type="http://schemas.openxmlformats.org/officeDocument/2006/relationships/hyperlink" Target="consultantplus://offline/ref=B0DA2B97D8D5C41B1681F3860613FED484644D8F2667176910E6148B244988256E6508E7F34440DC3F5B668C046680B0C851A5A6D93761S7I" TargetMode="External"/><Relationship Id="rId18" Type="http://schemas.openxmlformats.org/officeDocument/2006/relationships/hyperlink" Target="consultantplus://offline/ref=B0DA2B97D8D5C41B1681F3860613FED484644D8F2667176910E6148B244988256E6508E7F34740DC3F5B668C046680B0C851A5A6D93761S7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0DA2B97D8D5C41B1681F3860613FED4866241892A61176910E6148B244988256E6508E4F04641DC3F5B668C046680B0C851A5A6D93761S7I" TargetMode="External"/><Relationship Id="rId7" Type="http://schemas.openxmlformats.org/officeDocument/2006/relationships/hyperlink" Target="consultantplus://offline/ref=B0DA2B97D8D5C41B1681F3860613FED484644D8F2667176910E6148B244988256E6508E7F34441DC3F5B668C046680B0C851A5A6D93761S7I" TargetMode="External"/><Relationship Id="rId12" Type="http://schemas.openxmlformats.org/officeDocument/2006/relationships/hyperlink" Target="consultantplus://offline/ref=B0DA2B97D8D5C41B1681F3860613FED484644D8F2667176910E6148B244988256E6508E7F14340DC3F5B668C046680B0C851A5A6D93761S7I" TargetMode="External"/><Relationship Id="rId17" Type="http://schemas.openxmlformats.org/officeDocument/2006/relationships/hyperlink" Target="consultantplus://offline/ref=B0DA2B97D8D5C41B1681F3860613FED484644D8F2667176910E6148B244988256E6508E7F34441DC3F5B668C046680B0C851A5A6D93761S7I" TargetMode="External"/><Relationship Id="rId25" Type="http://schemas.openxmlformats.org/officeDocument/2006/relationships/hyperlink" Target="consultantplus://offline/ref=B0DA2B97D8D5C41B1681F3860613FED484644D8F2667176910E6148B244988256E6508E7F2474FDC3F5B668C046680B0C851A5A6D93761S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0DA2B97D8D5C41B1681F3860613FED484644D8F2667176910E6148B244988256E6508E7F34440DC3F5B668C046680B0C851A5A6D93761S7I" TargetMode="External"/><Relationship Id="rId20" Type="http://schemas.openxmlformats.org/officeDocument/2006/relationships/hyperlink" Target="consultantplus://offline/ref=B0DA2B97D8D5C41B1681F3860613FED484644D8F2667176910E6148B244988256E6508E7F14F45DC3F5B668C046680B0C851A5A6D93761S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DA2B97D8D5C41B1681F3860613FED484644D8F2667176910E6148B244988257C6550EBF14059D7631420D90866SEI" TargetMode="External"/><Relationship Id="rId11" Type="http://schemas.openxmlformats.org/officeDocument/2006/relationships/hyperlink" Target="consultantplus://offline/ref=B0DA2B97D8D5C41B1681F3860613FED484644D8F2667176910E6148B244988256E6508E7F14641DC3F5B668C046680B0C851A5A6D93761S7I" TargetMode="External"/><Relationship Id="rId24" Type="http://schemas.openxmlformats.org/officeDocument/2006/relationships/hyperlink" Target="consultantplus://offline/ref=B0DA2B97D8D5C41B1681F3860613FED484644D8F2667176910E6148B244988256E6508E7F24044DC3F5B668C046680B0C851A5A6D93761S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0DA2B97D8D5C41B1681F3860613FED484644D8F2667176910E6148B244988256E6508E7F2464EDC3F5B668C046680B0C851A5A6D93761S7I" TargetMode="External"/><Relationship Id="rId23" Type="http://schemas.openxmlformats.org/officeDocument/2006/relationships/hyperlink" Target="consultantplus://offline/ref=B0DA2B97D8D5C41B1681F3860613FED484644D8F2667176910E6148B244988256E6508E7F24345DC3F5B668C046680B0C851A5A6D93761S7I" TargetMode="External"/><Relationship Id="rId10" Type="http://schemas.openxmlformats.org/officeDocument/2006/relationships/hyperlink" Target="consultantplus://offline/ref=B0DA2B97D8D5C41B1681F3860613FED484644C8A2662176910E6148B244988256E6508E7F04647D2690176884D328BAFCE47BBACC7341E9D6BS8I" TargetMode="External"/><Relationship Id="rId19" Type="http://schemas.openxmlformats.org/officeDocument/2006/relationships/hyperlink" Target="consultantplus://offline/ref=B0DA2B97D8D5C41B1681F3860613FED484644D8F2667176910E6148B244988256E6508E7F14F46DC3F5B668C046680B0C851A5A6D93761S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DA2B97D8D5C41B1681F3860613FED484644D8F2667176910E6148B244988256E6508E7F14746DC3F5B668C046680B0C851A5A6D93761S7I" TargetMode="External"/><Relationship Id="rId14" Type="http://schemas.openxmlformats.org/officeDocument/2006/relationships/hyperlink" Target="consultantplus://offline/ref=B0DA2B97D8D5C41B1681F3860613FED484644D8F2667176910E6148B244988256E6508E7F34547DC3F5B668C046680B0C851A5A6D93761S7I" TargetMode="External"/><Relationship Id="rId22" Type="http://schemas.openxmlformats.org/officeDocument/2006/relationships/hyperlink" Target="consultantplus://offline/ref=B0DA2B97D8D5C41B1681F3860613FED484644D8F2667176910E6148B244988256E6508E7F24642DC3F5B668C046680B0C851A5A6D93761S7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2019-08-16T08:18:00Z</dcterms:created>
  <dcterms:modified xsi:type="dcterms:W3CDTF">2019-08-16T08:19:00Z</dcterms:modified>
</cp:coreProperties>
</file>