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A9" w:rsidRDefault="00C36FA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36FA9" w:rsidRDefault="00C36FA9">
      <w:pPr>
        <w:pStyle w:val="ConsPlusNormal"/>
        <w:ind w:firstLine="540"/>
        <w:jc w:val="both"/>
        <w:outlineLvl w:val="0"/>
      </w:pPr>
    </w:p>
    <w:p w:rsidR="00C36FA9" w:rsidRDefault="00C36FA9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C36FA9" w:rsidRDefault="00C36FA9">
      <w:pPr>
        <w:pStyle w:val="ConsPlusNormal"/>
        <w:jc w:val="both"/>
      </w:pPr>
    </w:p>
    <w:p w:rsidR="00C36FA9" w:rsidRDefault="00C36FA9">
      <w:pPr>
        <w:pStyle w:val="ConsPlusTitle"/>
        <w:jc w:val="center"/>
      </w:pPr>
      <w:r>
        <w:t>МИНФИН ПРЕДЛОЖИЛ УПРОСТИТЬ ПРОЦЕДУРУ ГОСЗАКУПОК:</w:t>
      </w:r>
    </w:p>
    <w:p w:rsidR="00C36FA9" w:rsidRDefault="00C36FA9">
      <w:pPr>
        <w:pStyle w:val="ConsPlusTitle"/>
        <w:jc w:val="center"/>
      </w:pPr>
      <w:r>
        <w:t>ОБЗОР МАСШТАБНОГО ПРОЕКТА ПОПРАВОК</w:t>
      </w:r>
    </w:p>
    <w:p w:rsidR="00C36FA9" w:rsidRDefault="00C36FA9">
      <w:pPr>
        <w:pStyle w:val="ConsPlusNormal"/>
      </w:pPr>
    </w:p>
    <w:p w:rsidR="00C36FA9" w:rsidRDefault="00C36FA9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25.02.2020.</w:t>
      </w:r>
    </w:p>
    <w:p w:rsidR="00C36FA9" w:rsidRDefault="00C36FA9">
      <w:pPr>
        <w:pStyle w:val="ConsPlusNormal"/>
        <w:ind w:firstLine="540"/>
        <w:jc w:val="both"/>
      </w:pPr>
    </w:p>
    <w:p w:rsidR="00C36FA9" w:rsidRDefault="00C36FA9">
      <w:pPr>
        <w:pStyle w:val="ConsPlusNormal"/>
        <w:ind w:firstLine="540"/>
        <w:jc w:val="both"/>
      </w:pPr>
      <w:r>
        <w:t xml:space="preserve">Подготовлен </w:t>
      </w:r>
      <w:hyperlink r:id="rId6" w:history="1">
        <w:r>
          <w:rPr>
            <w:color w:val="0000FF"/>
          </w:rPr>
          <w:t>проект поправок</w:t>
        </w:r>
      </w:hyperlink>
      <w:r>
        <w:t xml:space="preserve"> к Закону N 44-ФЗ. Планируется сократить количество конкурентных способов закупок, определить новые случаи закупки у единственного поставщика, скорректировать правила направления сведений в РНП, а также изменить порядок подачи жалоб. Подробнее в нашем обзоре.</w:t>
      </w:r>
    </w:p>
    <w:p w:rsidR="00C36FA9" w:rsidRDefault="00C36FA9">
      <w:pPr>
        <w:pStyle w:val="ConsPlusNormal"/>
        <w:ind w:firstLine="540"/>
        <w:jc w:val="both"/>
      </w:pPr>
    </w:p>
    <w:p w:rsidR="00C36FA9" w:rsidRDefault="00C36FA9">
      <w:pPr>
        <w:pStyle w:val="ConsPlusNormal"/>
        <w:ind w:firstLine="540"/>
        <w:jc w:val="both"/>
        <w:outlineLvl w:val="0"/>
      </w:pPr>
      <w:r>
        <w:rPr>
          <w:b/>
        </w:rPr>
        <w:t>Конкурентные способы закупок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>Исключаются следующие способы закупок: двухэтапные конкурсы, конкурсы с ограниченным участием, запросы предложений.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 xml:space="preserve">Конкурентными способами </w:t>
      </w:r>
      <w:hyperlink r:id="rId7" w:history="1">
        <w:r>
          <w:rPr>
            <w:color w:val="0000FF"/>
          </w:rPr>
          <w:t>будут</w:t>
        </w:r>
      </w:hyperlink>
      <w:r>
        <w:t>: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>- конкурс (открытый и закрытый конкурсы, проводимые в электронной форме, закрытый конкурс);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>- аукцион (электронный аукцион, закрытый аукцион, закрытый аукцион в электронной форме);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>- запрос котировок в электронной форме.</w:t>
      </w:r>
    </w:p>
    <w:p w:rsidR="00C36FA9" w:rsidRDefault="00C36FA9">
      <w:pPr>
        <w:pStyle w:val="ConsPlusNormal"/>
        <w:ind w:firstLine="540"/>
        <w:jc w:val="both"/>
      </w:pPr>
    </w:p>
    <w:p w:rsidR="00C36FA9" w:rsidRDefault="00C36FA9">
      <w:pPr>
        <w:pStyle w:val="ConsPlusNormal"/>
        <w:ind w:firstLine="540"/>
        <w:jc w:val="both"/>
        <w:outlineLvl w:val="0"/>
      </w:pPr>
      <w:r>
        <w:rPr>
          <w:b/>
        </w:rPr>
        <w:t>Особенности конкурентных закупок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 xml:space="preserve">Новшества затронут, в частности, запрос котировок в электронной форме. Так, проводить его </w:t>
      </w:r>
      <w:hyperlink r:id="rId8" w:history="1">
        <w:r>
          <w:rPr>
            <w:color w:val="0000FF"/>
          </w:rPr>
          <w:t>можно будет</w:t>
        </w:r>
      </w:hyperlink>
      <w:r>
        <w:t xml:space="preserve"> без ограничений по СГОЗ. Кроме того, при этом способе закупки необходимо будет требовать обеспечения заявки, если НМЦК превысит 1 </w:t>
      </w:r>
      <w:proofErr w:type="gramStart"/>
      <w:r>
        <w:t>млн</w:t>
      </w:r>
      <w:proofErr w:type="gramEnd"/>
      <w:r>
        <w:t xml:space="preserve"> руб. </w:t>
      </w:r>
      <w:hyperlink r:id="rId9" w:history="1">
        <w:r>
          <w:rPr>
            <w:color w:val="0000FF"/>
          </w:rPr>
          <w:t>Сейчас</w:t>
        </w:r>
      </w:hyperlink>
      <w:r>
        <w:t xml:space="preserve"> такая обязанность установлена только в отношении конкурсов и аукционов.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 xml:space="preserve">Проект снимает с заказчиков обязанность составлять документацию для проведения закупки открытыми конкурентными способами. Вся необходимая информация </w:t>
      </w:r>
      <w:hyperlink r:id="rId10" w:history="1">
        <w:r>
          <w:rPr>
            <w:color w:val="0000FF"/>
          </w:rPr>
          <w:t>будет включаться</w:t>
        </w:r>
      </w:hyperlink>
      <w:r>
        <w:t xml:space="preserve"> в извещение о закупке, которое будет формироваться в ЕИС. Документацию </w:t>
      </w:r>
      <w:hyperlink r:id="rId11" w:history="1">
        <w:r>
          <w:rPr>
            <w:color w:val="0000FF"/>
          </w:rPr>
          <w:t>потребуется составлять</w:t>
        </w:r>
      </w:hyperlink>
      <w:r>
        <w:t>, например, при закрытом аукционе в электронной форме.</w:t>
      </w:r>
    </w:p>
    <w:p w:rsidR="00C36FA9" w:rsidRDefault="00C36FA9">
      <w:pPr>
        <w:pStyle w:val="ConsPlusNormal"/>
        <w:ind w:firstLine="540"/>
        <w:jc w:val="both"/>
      </w:pPr>
    </w:p>
    <w:p w:rsidR="00C36FA9" w:rsidRDefault="00C36FA9">
      <w:pPr>
        <w:pStyle w:val="ConsPlusNormal"/>
        <w:ind w:firstLine="540"/>
        <w:jc w:val="both"/>
        <w:outlineLvl w:val="0"/>
      </w:pPr>
      <w:r>
        <w:rPr>
          <w:b/>
        </w:rPr>
        <w:t>Преференции при заключении контракта с организацией инвалидов или учреждением (предприятием) УИС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>По-прежнему будут применяться перечни товаров (работ, услуг), при закупках которых предоставляются преимущества.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>При заключении контракта с организацией инвалидов или учреждением (предприятием) УИС нужно будет увеличить предложенную ими цену, цену за единицу товара (работы, услуги) на 15%, но не более чем до размера НМЦК (НЦЕ) (</w:t>
      </w:r>
      <w:hyperlink r:id="rId12" w:history="1">
        <w:r>
          <w:rPr>
            <w:color w:val="0000FF"/>
          </w:rPr>
          <w:t>ч. 1 ст. 28</w:t>
        </w:r>
      </w:hyperlink>
      <w:r>
        <w:t xml:space="preserve">, </w:t>
      </w:r>
      <w:hyperlink r:id="rId13" w:history="1">
        <w:r>
          <w:rPr>
            <w:color w:val="0000FF"/>
          </w:rPr>
          <w:t>ч. 1 ст. 29</w:t>
        </w:r>
      </w:hyperlink>
      <w:r>
        <w:t xml:space="preserve"> в редакции проекта). Сейчас такая величина может быть менее 15% (</w:t>
      </w:r>
      <w:hyperlink r:id="rId14" w:history="1">
        <w:r>
          <w:rPr>
            <w:color w:val="0000FF"/>
          </w:rPr>
          <w:t>ч. 2</w:t>
        </w:r>
      </w:hyperlink>
      <w:r>
        <w:t xml:space="preserve"> ст. 28 и </w:t>
      </w:r>
      <w:hyperlink r:id="rId15" w:history="1">
        <w:r>
          <w:rPr>
            <w:color w:val="0000FF"/>
          </w:rPr>
          <w:t>ч. 3</w:t>
        </w:r>
      </w:hyperlink>
      <w:r>
        <w:t xml:space="preserve"> ст. 29 Закона N 44-ФЗ).</w:t>
      </w:r>
    </w:p>
    <w:p w:rsidR="00C36FA9" w:rsidRDefault="00C36FA9">
      <w:pPr>
        <w:pStyle w:val="ConsPlusNormal"/>
        <w:spacing w:before="220"/>
        <w:ind w:firstLine="540"/>
        <w:jc w:val="both"/>
      </w:pPr>
      <w:proofErr w:type="gramStart"/>
      <w:r>
        <w:t xml:space="preserve">Кроме того, будет запрещено закупать в рамках одной закупки товары (работы, услуги) из </w:t>
      </w:r>
      <w:r>
        <w:lastRenderedPageBreak/>
        <w:t>перечня и товары (работы, услуги), не входящие в него (</w:t>
      </w:r>
      <w:hyperlink r:id="rId16" w:history="1">
        <w:r>
          <w:rPr>
            <w:color w:val="0000FF"/>
          </w:rPr>
          <w:t>ч. 3 ст. 28</w:t>
        </w:r>
      </w:hyperlink>
      <w:r>
        <w:t xml:space="preserve">, </w:t>
      </w:r>
      <w:hyperlink r:id="rId17" w:history="1">
        <w:r>
          <w:rPr>
            <w:color w:val="0000FF"/>
          </w:rPr>
          <w:t>ч. 4 ст. 29</w:t>
        </w:r>
      </w:hyperlink>
      <w:r>
        <w:t xml:space="preserve"> в редакции проекта).</w:t>
      </w:r>
      <w:proofErr w:type="gramEnd"/>
    </w:p>
    <w:p w:rsidR="00C36FA9" w:rsidRDefault="00C36FA9">
      <w:pPr>
        <w:pStyle w:val="ConsPlusNormal"/>
        <w:ind w:firstLine="540"/>
        <w:jc w:val="both"/>
      </w:pPr>
    </w:p>
    <w:p w:rsidR="00C36FA9" w:rsidRDefault="00C36FA9">
      <w:pPr>
        <w:pStyle w:val="ConsPlusNormal"/>
        <w:ind w:firstLine="540"/>
        <w:jc w:val="both"/>
        <w:outlineLvl w:val="0"/>
      </w:pPr>
      <w:r>
        <w:rPr>
          <w:b/>
        </w:rPr>
        <w:t>Закупки у единственного поставщика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 xml:space="preserve">Таких закупок станет больше. Заключить контракт неконкурентным способом </w:t>
      </w:r>
      <w:hyperlink r:id="rId18" w:history="1">
        <w:r>
          <w:rPr>
            <w:color w:val="0000FF"/>
          </w:rPr>
          <w:t>можно будет</w:t>
        </w:r>
      </w:hyperlink>
      <w:r>
        <w:t>, в частности, при закупке здания по результатам торгов, проводимых в соответствии с земельным законодательством, законодательством об исполнительном производстве, о несостоятельности (банкротстве).</w:t>
      </w:r>
    </w:p>
    <w:p w:rsidR="00C36FA9" w:rsidRDefault="00C36FA9">
      <w:pPr>
        <w:pStyle w:val="ConsPlusNormal"/>
        <w:ind w:firstLine="540"/>
        <w:jc w:val="both"/>
      </w:pPr>
    </w:p>
    <w:p w:rsidR="00C36FA9" w:rsidRDefault="00C36FA9">
      <w:pPr>
        <w:pStyle w:val="ConsPlusNormal"/>
        <w:ind w:firstLine="540"/>
        <w:jc w:val="both"/>
        <w:outlineLvl w:val="0"/>
      </w:pPr>
      <w:r>
        <w:rPr>
          <w:b/>
        </w:rPr>
        <w:t>Порядок исполнения контракта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 xml:space="preserve">При проведении электронных процедур (закрытых электронных процедур) формировать и подписывать документы о приемке </w:t>
      </w:r>
      <w:hyperlink r:id="rId19" w:history="1">
        <w:r>
          <w:rPr>
            <w:color w:val="0000FF"/>
          </w:rPr>
          <w:t>нужно будет</w:t>
        </w:r>
      </w:hyperlink>
      <w:r>
        <w:t xml:space="preserve"> в электронной форме. Такая </w:t>
      </w:r>
      <w:hyperlink r:id="rId20" w:history="1">
        <w:r>
          <w:rPr>
            <w:color w:val="0000FF"/>
          </w:rPr>
          <w:t>возможность</w:t>
        </w:r>
      </w:hyperlink>
      <w:r>
        <w:t xml:space="preserve"> уже сейчас реализована в ЕИС.</w:t>
      </w:r>
    </w:p>
    <w:p w:rsidR="00C36FA9" w:rsidRDefault="00C36FA9">
      <w:pPr>
        <w:pStyle w:val="ConsPlusNormal"/>
        <w:ind w:firstLine="540"/>
        <w:jc w:val="both"/>
      </w:pPr>
    </w:p>
    <w:p w:rsidR="00C36FA9" w:rsidRDefault="00C36FA9">
      <w:pPr>
        <w:pStyle w:val="ConsPlusNormal"/>
        <w:ind w:firstLine="540"/>
        <w:jc w:val="both"/>
        <w:outlineLvl w:val="0"/>
      </w:pPr>
      <w:r>
        <w:rPr>
          <w:b/>
        </w:rPr>
        <w:t>Порядок направления сведений в РНП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 xml:space="preserve">При проведении электронных процедур (закрытых электронных процедур) формировать обращение о включении сведений в РНП заказчики </w:t>
      </w:r>
      <w:hyperlink r:id="rId21" w:history="1">
        <w:r>
          <w:rPr>
            <w:color w:val="0000FF"/>
          </w:rPr>
          <w:t>будут</w:t>
        </w:r>
      </w:hyperlink>
      <w:r>
        <w:t xml:space="preserve"> в электронной форме в ЕИС. В </w:t>
      </w:r>
      <w:hyperlink r:id="rId22" w:history="1">
        <w:r>
          <w:rPr>
            <w:color w:val="0000FF"/>
          </w:rPr>
          <w:t>некоторых случаях</w:t>
        </w:r>
      </w:hyperlink>
      <w:r>
        <w:t xml:space="preserve"> сведения придется, как и раньше, направлять на бумажном носителе: например, при проведении закрытого конкурса или аукциона.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 xml:space="preserve">Перечень сведений для реестра скорректировали. Так, в него не потребуется включать </w:t>
      </w:r>
      <w:hyperlink r:id="rId23" w:history="1">
        <w:r>
          <w:rPr>
            <w:color w:val="0000FF"/>
          </w:rPr>
          <w:t>информацию</w:t>
        </w:r>
      </w:hyperlink>
      <w:r>
        <w:t xml:space="preserve"> об основаниях и дате расторжения контракта по решению суда.</w:t>
      </w:r>
    </w:p>
    <w:p w:rsidR="00C36FA9" w:rsidRDefault="00C36FA9">
      <w:pPr>
        <w:pStyle w:val="ConsPlusNormal"/>
        <w:ind w:firstLine="540"/>
        <w:jc w:val="both"/>
      </w:pPr>
    </w:p>
    <w:p w:rsidR="00C36FA9" w:rsidRDefault="00C36FA9">
      <w:pPr>
        <w:pStyle w:val="ConsPlusNormal"/>
        <w:ind w:firstLine="540"/>
        <w:jc w:val="both"/>
        <w:outlineLvl w:val="0"/>
      </w:pPr>
      <w:r>
        <w:rPr>
          <w:b/>
        </w:rPr>
        <w:t>Обжалование нарушений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>Порядок обжалования нарушений также предлагают изменить. В частности, планируют ввести электронную форму подачи жалобы при конкурентных и малых электронных закупках (</w:t>
      </w:r>
      <w:hyperlink r:id="rId24" w:history="1">
        <w:r>
          <w:rPr>
            <w:color w:val="0000FF"/>
          </w:rPr>
          <w:t>ч. 1</w:t>
        </w:r>
      </w:hyperlink>
      <w:r>
        <w:t xml:space="preserve">, </w:t>
      </w:r>
      <w:hyperlink r:id="rId25" w:history="1">
        <w:r>
          <w:rPr>
            <w:color w:val="0000FF"/>
          </w:rPr>
          <w:t>ч. 4 ст. 105</w:t>
        </w:r>
      </w:hyperlink>
      <w:r>
        <w:t xml:space="preserve"> в редакции проекта). В </w:t>
      </w:r>
      <w:hyperlink r:id="rId26" w:history="1">
        <w:r>
          <w:rPr>
            <w:color w:val="0000FF"/>
          </w:rPr>
          <w:t>некоторых случаях</w:t>
        </w:r>
      </w:hyperlink>
      <w:r>
        <w:t xml:space="preserve"> подавать жалобы придется по-прежнему в </w:t>
      </w:r>
      <w:hyperlink r:id="rId27" w:history="1">
        <w:r>
          <w:rPr>
            <w:color w:val="0000FF"/>
          </w:rPr>
          <w:t>бумажной форме</w:t>
        </w:r>
      </w:hyperlink>
      <w:r>
        <w:t>: например, при проведении закрытого конкурса или аукциона.</w:t>
      </w:r>
    </w:p>
    <w:p w:rsidR="00C36FA9" w:rsidRDefault="00C36FA9">
      <w:pPr>
        <w:pStyle w:val="ConsPlusNormal"/>
        <w:spacing w:before="220"/>
        <w:ind w:firstLine="540"/>
        <w:jc w:val="both"/>
      </w:pPr>
      <w:r>
        <w:t xml:space="preserve">Кроме того, планируют скорректировать сведения, которые указываются в жалобе. Так, если проводится конкурентная закупка с НМЦК от 20 </w:t>
      </w:r>
      <w:proofErr w:type="gramStart"/>
      <w:r>
        <w:t>млн</w:t>
      </w:r>
      <w:proofErr w:type="gramEnd"/>
      <w:r>
        <w:t xml:space="preserve"> руб., заказчик </w:t>
      </w:r>
      <w:hyperlink r:id="rId28" w:history="1">
        <w:r>
          <w:rPr>
            <w:color w:val="0000FF"/>
          </w:rPr>
          <w:t>будет требовать</w:t>
        </w:r>
      </w:hyperlink>
      <w:r>
        <w:t xml:space="preserve"> от участника, чтобы тот имел успешный опыт исполнения контракта по Закону N 44-ФЗ. Его цена должна быть не менее 20% НМЦК. Предмет закупки не будет иметь значения. Потребуется установить это положение в случае, если заказчик не применял доптребований к участникам закупки. Если требование к опыту будет предусмотрено, при подаче жалобы </w:t>
      </w:r>
      <w:hyperlink r:id="rId29" w:history="1">
        <w:r>
          <w:rPr>
            <w:color w:val="0000FF"/>
          </w:rPr>
          <w:t>понадобится указать</w:t>
        </w:r>
      </w:hyperlink>
      <w:r>
        <w:t xml:space="preserve"> номер реестровой записи контракта.</w:t>
      </w:r>
    </w:p>
    <w:p w:rsidR="00C36FA9" w:rsidRDefault="00C36FA9">
      <w:pPr>
        <w:pStyle w:val="ConsPlusNormal"/>
        <w:ind w:firstLine="540"/>
        <w:jc w:val="both"/>
      </w:pPr>
    </w:p>
    <w:p w:rsidR="00C36FA9" w:rsidRDefault="00C36FA9">
      <w:pPr>
        <w:pStyle w:val="ConsPlusNormal"/>
        <w:ind w:firstLine="540"/>
        <w:jc w:val="both"/>
      </w:pPr>
      <w:r>
        <w:t xml:space="preserve">Планируется, что новшества начнут действовать </w:t>
      </w:r>
      <w:hyperlink r:id="rId30" w:history="1">
        <w:r>
          <w:rPr>
            <w:color w:val="0000FF"/>
          </w:rPr>
          <w:t>с 1 января 2021 года</w:t>
        </w:r>
      </w:hyperlink>
      <w:r>
        <w:t>. Общественное обсуждение проекта продлится до 2 марта 2020 года.</w:t>
      </w:r>
    </w:p>
    <w:p w:rsidR="00C36FA9" w:rsidRDefault="00C36FA9">
      <w:pPr>
        <w:pStyle w:val="ConsPlusNormal"/>
        <w:ind w:firstLine="540"/>
        <w:jc w:val="both"/>
      </w:pPr>
    </w:p>
    <w:p w:rsidR="00C36FA9" w:rsidRDefault="00C36FA9">
      <w:pPr>
        <w:pStyle w:val="ConsPlusNormal"/>
        <w:ind w:firstLine="540"/>
        <w:jc w:val="both"/>
      </w:pPr>
      <w:r>
        <w:t xml:space="preserve">Документ: </w:t>
      </w:r>
      <w:hyperlink r:id="rId31" w:history="1">
        <w:r>
          <w:rPr>
            <w:i/>
            <w:color w:val="0000FF"/>
          </w:rPr>
          <w:t>Проект</w:t>
        </w:r>
      </w:hyperlink>
      <w:r>
        <w:rPr>
          <w:i/>
        </w:rPr>
        <w:t xml:space="preserve"> федерального закона</w:t>
      </w:r>
    </w:p>
    <w:p w:rsidR="00C36FA9" w:rsidRDefault="00C36FA9">
      <w:pPr>
        <w:pStyle w:val="ConsPlusNormal"/>
      </w:pPr>
    </w:p>
    <w:p w:rsidR="00C36FA9" w:rsidRDefault="00C36FA9">
      <w:pPr>
        <w:pStyle w:val="ConsPlusNormal"/>
      </w:pPr>
    </w:p>
    <w:p w:rsidR="00C36FA9" w:rsidRDefault="00C36F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0D8C" w:rsidRDefault="00980D8C">
      <w:bookmarkStart w:id="0" w:name="_GoBack"/>
      <w:bookmarkEnd w:id="0"/>
    </w:p>
    <w:sectPr w:rsidR="00980D8C" w:rsidSect="00B56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A9"/>
    <w:rsid w:val="00980D8C"/>
    <w:rsid w:val="00C3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F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F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29710B9B0A5BF14B015F601D859F0A0DACEB31C4C742A1EA9A30C1569183C3B61E9566D70515FB0ACC26A01A822887DCFC6533D3C20487K7i2M" TargetMode="External"/><Relationship Id="rId13" Type="http://schemas.openxmlformats.org/officeDocument/2006/relationships/hyperlink" Target="consultantplus://offline/ref=3629710B9B0A5BF14B015F601D859F0A0DACEB31C4C742A1EA9A30C1569183C3B61E9566D70514FD02CC26A01A822887DCFC6533D3C20487K7i2M" TargetMode="External"/><Relationship Id="rId18" Type="http://schemas.openxmlformats.org/officeDocument/2006/relationships/hyperlink" Target="consultantplus://offline/ref=3629710B9B0A5BF14B015F601D859F0A0DACEB31C4C742A1EA9A30C1569183C3B61E9566D7051DFE0ECC26A01A822887DCFC6533D3C20487K7i2M" TargetMode="External"/><Relationship Id="rId26" Type="http://schemas.openxmlformats.org/officeDocument/2006/relationships/hyperlink" Target="consultantplus://offline/ref=3629710B9B0A5BF14B015F601D859F0A0DACEB31C4C742A1EA9A30C1569183C3B61E9566D7051CF50ACC26A01A822887DCFC6533D3C20487K7i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629710B9B0A5BF14B015F601D859F0A0DACEB31C4C742A1EA9A30C1569183C3B61E9566D7051CFF09CC26A01A822887DCFC6533D3C20487K7i2M" TargetMode="External"/><Relationship Id="rId7" Type="http://schemas.openxmlformats.org/officeDocument/2006/relationships/hyperlink" Target="consultantplus://offline/ref=3629710B9B0A5BF14B015F601D859F0A0DACEB31C4C742A1EA9A30C1569183C3B61E9566D70515F809CC26A01A822887DCFC6533D3C20487K7i2M" TargetMode="External"/><Relationship Id="rId12" Type="http://schemas.openxmlformats.org/officeDocument/2006/relationships/hyperlink" Target="consultantplus://offline/ref=3629710B9B0A5BF14B015F601D859F0A0DACEB31C4C742A1EA9A30C1569183C3B61E9566D70514FD0ECC26A01A822887DCFC6533D3C20487K7i2M" TargetMode="External"/><Relationship Id="rId17" Type="http://schemas.openxmlformats.org/officeDocument/2006/relationships/hyperlink" Target="consultantplus://offline/ref=3629710B9B0A5BF14B015F601D859F0A0DACEB31C4C742A1EA9A30C1569183C3B61E9566D70514FC09CC26A01A822887DCFC6533D3C20487K7i2M" TargetMode="External"/><Relationship Id="rId25" Type="http://schemas.openxmlformats.org/officeDocument/2006/relationships/hyperlink" Target="consultantplus://offline/ref=3629710B9B0A5BF14B015F601D859F0A0DACEB31C4C742A1EA9A30C1569183C3B61E9566D7051CF80DCC26A01A822887DCFC6533D3C20487K7i2M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629710B9B0A5BF14B015F601D859F0A0DACEB31C4C742A1EA9A30C1569183C3B61E9566D70514FD0CCC26A01A822887DCFC6533D3C20487K7i2M" TargetMode="External"/><Relationship Id="rId20" Type="http://schemas.openxmlformats.org/officeDocument/2006/relationships/hyperlink" Target="consultantplus://offline/ref=3629710B9B0A5BF14B01437300859F0A0DA2E33DC9CF42A1EA9A30C1569183C3B61E9560D70510F65F9636A453D5259BDCE67B35CDC2K0i4M" TargetMode="External"/><Relationship Id="rId29" Type="http://schemas.openxmlformats.org/officeDocument/2006/relationships/hyperlink" Target="consultantplus://offline/ref=3629710B9B0A5BF14B015F601D859F0A0DACEB31C4C742A1EA9A30C1569183C3B61E9566D7051CFB08CC26A01A822887DCFC6533D3C20487K7i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29710B9B0A5BF14B015F601D859F0A0DACEB31C4C742A1EA9A30C1569183C3B61E9566D70515FD0ACC26A01A822887DCFC6533D3C20487K7i2M" TargetMode="External"/><Relationship Id="rId11" Type="http://schemas.openxmlformats.org/officeDocument/2006/relationships/hyperlink" Target="consultantplus://offline/ref=3629710B9B0A5BF14B015F601D859F0A0DACEB31C4C742A1EA9A30C1569183C3B61E9566D70513FC0FCC26A01A822887DCFC6533D3C20487K7i2M" TargetMode="External"/><Relationship Id="rId24" Type="http://schemas.openxmlformats.org/officeDocument/2006/relationships/hyperlink" Target="consultantplus://offline/ref=3629710B9B0A5BF14B015F601D859F0A0DACEB31C4C742A1EA9A30C1569183C3B61E9566D7051CF90FCC26A01A822887DCFC6533D3C20487K7i2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629710B9B0A5BF14B01437300859F0A0FA1E83BC9CE42A1EA9A30C1569183C3B61E9566D50514F65F9636A453D5259BDCE67B35CDC2K0i4M" TargetMode="External"/><Relationship Id="rId23" Type="http://schemas.openxmlformats.org/officeDocument/2006/relationships/hyperlink" Target="consultantplus://offline/ref=3629710B9B0A5BF14B01437300859F0A0FA1E83BC9CE42A1EA9A30C1569183C3B61E9566D70410FD0DCC26A01A822887DCFC6533D3C20487K7i2M" TargetMode="External"/><Relationship Id="rId28" Type="http://schemas.openxmlformats.org/officeDocument/2006/relationships/hyperlink" Target="consultantplus://offline/ref=3629710B9B0A5BF14B015F601D859F0A0DACEB31C4C742A1EA9A30C1569183C3B61E9566D70514FF0BCC26A01A822887DCFC6533D3C20487K7i2M" TargetMode="External"/><Relationship Id="rId10" Type="http://schemas.openxmlformats.org/officeDocument/2006/relationships/hyperlink" Target="consultantplus://offline/ref=3629710B9B0A5BF14B015F601D859F0A0DACEB31C4C742A1EA9A30C1569183C3B61E9566D70514FA0CCC26A01A822887DCFC6533D3C20487K7i2M" TargetMode="External"/><Relationship Id="rId19" Type="http://schemas.openxmlformats.org/officeDocument/2006/relationships/hyperlink" Target="consultantplus://offline/ref=3629710B9B0A5BF14B015F601D859F0A0DACEB31C4C742A1EA9A30C1569183C3B61E9566D7051DF90DCC26A01A822887DCFC6533D3C20487K7i2M" TargetMode="External"/><Relationship Id="rId31" Type="http://schemas.openxmlformats.org/officeDocument/2006/relationships/hyperlink" Target="consultantplus://offline/ref=3629710B9B0A5BF14B015F601D859F0A0DACEB31C4C742A1EA9A30C1569183C3A41ECD6AD5050BFD0FD970F15CKDi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29710B9B0A5BF14B01437300859F0A0EACEF3EC9CA42A1EA9A30C1569183C3B61E9566D70515FD0ECC26A01A822887DCFC6533D3C20487K7i2M" TargetMode="External"/><Relationship Id="rId14" Type="http://schemas.openxmlformats.org/officeDocument/2006/relationships/hyperlink" Target="consultantplus://offline/ref=3629710B9B0A5BF14B01437300859F0A0FA1E83BC9CE42A1EA9A30C1569183C3B61E9566D50515F65F9636A453D5259BDCE67B35CDC2K0i4M" TargetMode="External"/><Relationship Id="rId22" Type="http://schemas.openxmlformats.org/officeDocument/2006/relationships/hyperlink" Target="consultantplus://offline/ref=3629710B9B0A5BF14B015F601D859F0A0DACEB31C4C742A1EA9A30C1569183C3B61E9566D7051CFF0FCC26A01A822887DCFC6533D3C20487K7i2M" TargetMode="External"/><Relationship Id="rId27" Type="http://schemas.openxmlformats.org/officeDocument/2006/relationships/hyperlink" Target="consultantplus://offline/ref=3629710B9B0A5BF14B015F601D859F0A0DACEB31C4C742A1EA9A30C1569183C3B61E9566D7051CF509CC26A01A822887DCFC6533D3C20487K7i2M" TargetMode="External"/><Relationship Id="rId30" Type="http://schemas.openxmlformats.org/officeDocument/2006/relationships/hyperlink" Target="consultantplus://offline/ref=3629710B9B0A5BF14B015F601D859F0A0DACEB31C4C742A1EA9A30C1569183C3B61E9566D70415F80BCC26A01A822887DCFC6533D3C20487K7i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2020-04-20T12:34:00Z</dcterms:created>
  <dcterms:modified xsi:type="dcterms:W3CDTF">2020-04-20T12:34:00Z</dcterms:modified>
</cp:coreProperties>
</file>