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5A2" w:rsidRDefault="00DC15A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DC15A2" w:rsidRDefault="00DC15A2">
      <w:pPr>
        <w:pStyle w:val="ConsPlusNormal"/>
        <w:ind w:firstLine="540"/>
        <w:jc w:val="both"/>
        <w:outlineLvl w:val="0"/>
      </w:pPr>
    </w:p>
    <w:p w:rsidR="00DC15A2" w:rsidRDefault="00DC15A2">
      <w:pPr>
        <w:pStyle w:val="ConsPlusNormal"/>
        <w:jc w:val="right"/>
      </w:pPr>
      <w:r>
        <w:t>Бесплатно подписаться на обзоры на сайте КонсультантПлюс</w:t>
      </w:r>
    </w:p>
    <w:p w:rsidR="00DC15A2" w:rsidRDefault="00DC15A2">
      <w:pPr>
        <w:pStyle w:val="ConsPlusNormal"/>
        <w:jc w:val="both"/>
      </w:pPr>
    </w:p>
    <w:p w:rsidR="00DC15A2" w:rsidRDefault="00DC15A2">
      <w:pPr>
        <w:pStyle w:val="ConsPlusTitle"/>
        <w:jc w:val="center"/>
      </w:pPr>
      <w:r>
        <w:t>СУДЕБНАЯ ПРАКТИКА ПО ЗАКОНУ N 44-ФЗ: ОБЗОР ЗА 8 - 12 ИЮЛЯ</w:t>
      </w:r>
    </w:p>
    <w:p w:rsidR="00DC15A2" w:rsidRDefault="00DC15A2">
      <w:pPr>
        <w:pStyle w:val="ConsPlusNormal"/>
        <w:jc w:val="center"/>
      </w:pPr>
    </w:p>
    <w:p w:rsidR="00DC15A2" w:rsidRDefault="00DC15A2">
      <w:pPr>
        <w:pStyle w:val="ConsPlusNormal"/>
        <w:ind w:firstLine="540"/>
        <w:jc w:val="both"/>
      </w:pPr>
      <w:r>
        <w:t>Исключительные права на представленный материал принадлежат АО "Консультант Плюс".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>Материал подготовлен с использованием правовых актов по состоянию на 16.07.2019.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Мы отобрали 7 интересных постановлений, включенных в систему КонсультантПлюс на прошлой неделе. Как избежать взыскания неустойки, что делать, если не успели получить банковскую гарантию, что учесть при закупке страховых услуг - вот лишь часть вопросов, затронутых в нашем обзоре.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Title"/>
        <w:jc w:val="center"/>
        <w:outlineLvl w:val="0"/>
      </w:pPr>
      <w:r>
        <w:t>Участникам закупок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Неустойку не взыщут, если докажете, что нарушение допущено не по вашей вине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 xml:space="preserve">Заказчик оплатил работы по контракту за вычетом неустойки. Подрядчик в суде доказал, что условия контракта нарушены не по его вине. Причиной стали </w:t>
      </w:r>
      <w:hyperlink r:id="rId6" w:history="1">
        <w:r>
          <w:rPr>
            <w:color w:val="0000FF"/>
          </w:rPr>
          <w:t>несоответствия</w:t>
        </w:r>
      </w:hyperlink>
      <w:r>
        <w:t xml:space="preserve"> в проекте и сметном расчете. Кроме того, стороны </w:t>
      </w:r>
      <w:hyperlink r:id="rId7" w:history="1">
        <w:r>
          <w:rPr>
            <w:color w:val="0000FF"/>
          </w:rPr>
          <w:t>заключили допсоглашение</w:t>
        </w:r>
      </w:hyperlink>
      <w:r>
        <w:t xml:space="preserve"> об увеличении объема работ, что привело к увеличению срока их выполнения.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Суд встал на сторону подрядчика и обязал заказчика выплатить недостающую сумму.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8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Восточно-Сибирского округа от 20.06.2019 по делу N А19-6781/2018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Не направляйте протокол разногласий с формальными замечаниями к условиям контракта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 xml:space="preserve">Победитель закупки, не успевая получить банковскую гарантию, чтобы обеспечить исполнение контракта, направил заказчику протокол разногласий. В нем были </w:t>
      </w:r>
      <w:hyperlink r:id="rId9" w:history="1">
        <w:r>
          <w:rPr>
            <w:color w:val="0000FF"/>
          </w:rPr>
          <w:t>формальные замечания</w:t>
        </w:r>
      </w:hyperlink>
      <w:r>
        <w:t xml:space="preserve"> (в тексте контракта нарушены правила орфографии и пунктуации). Заказчик признал победителя уклонившимся от заключения контракта.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Участник попытался оспорить это решение, но УФАС и суд встали на сторону заказчика. Суд установил, что победитель не мог подписать контракт вовремя, поскольку не получил банковскую гарантию, а протокол был нужен, чтобы затянуть время подписания. Сведения об участнике внесли в РНП.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Напомним: с 01.07.2019 </w:t>
      </w:r>
      <w:hyperlink r:id="rId10" w:history="1">
        <w:r>
          <w:rPr>
            <w:color w:val="0000FF"/>
          </w:rPr>
          <w:t>разрешено менять</w:t>
        </w:r>
      </w:hyperlink>
      <w:r>
        <w:t xml:space="preserve"> способ обеспечения контракта при его исполнении. Если не успеваете получить банковскую гарантию, внесите в качестве обеспечения деньги - позже представите банковскую гарантию.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Московского округа от 27.06.2019 по делу N А40-220502/18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При подаче заявки ориентируйтесь на инструкцию, даже если она противоречит ГОСТу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>Заказчик установил в документации требование о том, что материалы должны соответствовать ГОСТу. В инструкции по заполнению заявки он запретил использовать в заявке слова, допускающие неоднозначное толкование, например: "минимальный", "от... до...". Кроме того, были указаны значения, которые нельзя изменять.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Участник привел сведения о материалах, следуя инструкции заказчика. Заявку отклонили. Заказчик посчитал, что предоставленные сведения не соответствуют ГОСТу.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УФАС и суд встали на сторону участника. Суд подчеркнул, что участник был лишен возможности указывать диапазон значений (как в ГОСТе), поскольку выбор диапазона инструкцией запрещен. Другой предоставленный показатель, который не соответствовал ГОСТу, заказчик в инструкции менять запретил.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Заказчика обязали отменить протоколы и снова рассмотреть заявки.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Отметим: часто в таких спорах имеет значение, обращался ли участник за разъяснениями документации. Если видите в документации противоречия, </w:t>
      </w:r>
      <w:hyperlink r:id="rId12" w:history="1">
        <w:r>
          <w:rPr>
            <w:color w:val="0000FF"/>
          </w:rPr>
          <w:t>обратитесь за разъяснениями</w:t>
        </w:r>
      </w:hyperlink>
      <w:r>
        <w:t>. Это поможет избежать неправомерного отклонения.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3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27.06.2019 по делу N А56-53363/2018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Title"/>
        <w:jc w:val="center"/>
        <w:outlineLvl w:val="0"/>
      </w:pPr>
      <w:r>
        <w:t>Заказчикам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Взыскать деньги по банковской гарантии можно, если требование направлено по почте в пределах срока ее действия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>Исполнитель нарушил контракт. Заказчик направил в банк требование о выплате 45 тыс. руб. по банковской гарантии. Банк получил требование 11 февраля. Срок действия гарантии - 31 января. Банк отказал в выплате, поскольку требование получено по истечении срока действия банковской гарантии.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Суд встал на сторону заказчика. Он указал: условие гарантии о том, что требование должно поступить банку до истечения срока ее действия, противоречит требованиям Закона N 44-ФЗ. В этом случае заказчик зависит от услуг почты, поскольку не может заранее рассчитать срок доставки требования в банк, что, в свою очередь, </w:t>
      </w:r>
      <w:hyperlink r:id="rId14" w:history="1">
        <w:r>
          <w:rPr>
            <w:color w:val="0000FF"/>
          </w:rPr>
          <w:t>сокращает срок действия гарантии</w:t>
        </w:r>
      </w:hyperlink>
      <w:r>
        <w:t>. Поскольку заказчик направил требование почтой и по электронной почте до окончания срока действия гарантии, суд взыскал с банка денежные средства.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15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Дальневосточного округа от 19.06.2019 по делу N А51-13059/2018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Рекомендуем: </w:t>
      </w:r>
      <w:hyperlink r:id="rId16" w:history="1">
        <w:r>
          <w:rPr>
            <w:i/>
            <w:color w:val="0000FF"/>
          </w:rPr>
          <w:t>Получить деньги по банковской гарантии становится проще: Верховный суд защитил бенефициаров</w:t>
        </w:r>
      </w:hyperlink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При заключении договора страхования ответственность нужно установить по специальному закону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 xml:space="preserve">Заказчик заключил контракт обязательного страхования гражданской ответственности перевозчика. В нем была </w:t>
      </w:r>
      <w:hyperlink r:id="rId17" w:history="1">
        <w:r>
          <w:rPr>
            <w:color w:val="0000FF"/>
          </w:rPr>
          <w:t>установлена ответственность</w:t>
        </w:r>
      </w:hyperlink>
      <w:r>
        <w:t xml:space="preserve"> за просрочку исполнения обязательства согласно Закону N 44-ФЗ.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Суд по требованию прокурора признал условие контракта недействительным. Он указал, что ответственность должна быть установлена по </w:t>
      </w:r>
      <w:hyperlink r:id="rId18" w:history="1">
        <w:r>
          <w:rPr>
            <w:color w:val="0000FF"/>
          </w:rPr>
          <w:t>Закону</w:t>
        </w:r>
      </w:hyperlink>
      <w:r>
        <w:t xml:space="preserve"> N 67-ФЗ - 1% от невыплаченного страхового возмещения в день.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Суд подчеркнул: </w:t>
      </w:r>
      <w:hyperlink r:id="rId19" w:history="1">
        <w:r>
          <w:rPr>
            <w:color w:val="0000FF"/>
          </w:rPr>
          <w:t>Закон</w:t>
        </w:r>
      </w:hyperlink>
      <w:r>
        <w:t xml:space="preserve"> N 67-ФЗ носит специальный характер, поэтому ответственность нужно устанавливать по нему. Кроме того, он сослался на </w:t>
      </w:r>
      <w:hyperlink r:id="rId20" w:history="1">
        <w:r>
          <w:rPr>
            <w:color w:val="0000FF"/>
          </w:rPr>
          <w:t>позицию Пленума ВС РФ</w:t>
        </w:r>
      </w:hyperlink>
      <w:r>
        <w:t xml:space="preserve"> о том, что </w:t>
      </w:r>
      <w:r>
        <w:lastRenderedPageBreak/>
        <w:t>размер законной неустойки не может быть уменьшен, но может быть увеличен, если это не запрещено законом.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1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Волго-Вятского округа от 21.03.2019 по делу N А28-8409/2018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Отклонять заявку за неправильный расчет тарифа по ОСАГО при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 нельзя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>В практике по-прежнему много случаев, когда участники аукционов на закупку ОСАГО обжалуют закупку.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Так, заказчик отклонил заявку участника, предложившего наименьшую цену, посчитав, что тот снизил цену за счет неправильного расчета тарифа. УФАС признал действия заказчика незаконными. Суд поддержал УФАС и указал, что при проведен</w:t>
      </w:r>
      <w:proofErr w:type="gramStart"/>
      <w:r>
        <w:t>ии ау</w:t>
      </w:r>
      <w:proofErr w:type="gramEnd"/>
      <w:r>
        <w:t>кционов заказчик не может отклонить заявку из-за неправильно рассчитанной цены. Кроме того, в составе заявки не было расчета тарифа - заказчик не мог определить обоснованность предложенной цены.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Отметим: иногда антимонопольные органы вставали на сторону заказчиков. В тех случаях документацией участникам </w:t>
      </w:r>
      <w:hyperlink r:id="rId22" w:history="1">
        <w:r>
          <w:rPr>
            <w:color w:val="0000FF"/>
          </w:rPr>
          <w:t>было запрещено</w:t>
        </w:r>
      </w:hyperlink>
      <w:r>
        <w:t xml:space="preserve"> применять базовые ставки, коэффициенты страховых тарифов, структуру страховых тарифов, не соответствующие нормативным требованиям.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Обратите внимание: </w:t>
      </w:r>
      <w:hyperlink r:id="rId23" w:history="1">
        <w:r>
          <w:rPr>
            <w:color w:val="0000FF"/>
          </w:rPr>
          <w:t>есть решения</w:t>
        </w:r>
      </w:hyperlink>
      <w:r>
        <w:t>, которыми аукцион признается ненадлежащим способом закупки ОСАГО. В регионах, где антимонопольные органы придерживаются такой позиции, заказчику безопасней закупать ОСАГО через открытый конкурс: в нем цена не будет играть главную роль, и это снизит вероятность жалоб.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4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Северо-Западного округа от 26.06.2019 по делу N А13-7342/2018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  <w:outlineLvl w:val="1"/>
      </w:pPr>
      <w:r>
        <w:rPr>
          <w:b/>
        </w:rPr>
        <w:t>В пределах гарантийного срока действует презумпция вины подрядчика</w:t>
      </w:r>
    </w:p>
    <w:p w:rsidR="00DC15A2" w:rsidRDefault="00DC15A2">
      <w:pPr>
        <w:pStyle w:val="ConsPlusNormal"/>
        <w:spacing w:before="220"/>
        <w:ind w:firstLine="540"/>
        <w:jc w:val="both"/>
      </w:pPr>
      <w:r>
        <w:t>Заказчик обратился в суд с иском о понуждении подрядчика устранить недостатки работ, выявленные в период гарантийного срока.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Суд первой инстанции </w:t>
      </w:r>
      <w:hyperlink r:id="rId25" w:history="1">
        <w:r>
          <w:rPr>
            <w:color w:val="0000FF"/>
          </w:rPr>
          <w:t>удовлетворил требование заказчика</w:t>
        </w:r>
      </w:hyperlink>
      <w:r>
        <w:t xml:space="preserve">. Апелляционная инстанция </w:t>
      </w:r>
      <w:hyperlink r:id="rId26" w:history="1">
        <w:r>
          <w:rPr>
            <w:color w:val="0000FF"/>
          </w:rPr>
          <w:t>отменила решение</w:t>
        </w:r>
      </w:hyperlink>
      <w:r>
        <w:t>: заказчик не доказал, что недостатки возникли из-за некачественного выполнения работ.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Кассация отметила: если недостаток выявлен в течение гарантийного срока, заказчик обязан доказать только факт его обнаружения. Подрядчик же должен доказать, что недостаток возник не по его вине.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>Согласно заключению строительной экспертизы подрядчик нарушил технологию выполнения работ. Подрядчик не доказал, что это нарушение не повлияло на результат, - суд обязал его устранить недостатки.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rPr>
          <w:i/>
        </w:rPr>
        <w:t xml:space="preserve">Документ: </w:t>
      </w:r>
      <w:hyperlink r:id="rId27" w:history="1">
        <w:r>
          <w:rPr>
            <w:i/>
            <w:color w:val="0000FF"/>
          </w:rPr>
          <w:t>Постановление</w:t>
        </w:r>
      </w:hyperlink>
      <w:r>
        <w:rPr>
          <w:i/>
        </w:rPr>
        <w:t xml:space="preserve"> АС Уральского округа от 28.06.2019 по делу N А76-32587/2017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  <w:r>
        <w:t xml:space="preserve">Предыдущий обзор практики читайте </w:t>
      </w:r>
      <w:hyperlink r:id="rId28" w:history="1">
        <w:r>
          <w:rPr>
            <w:color w:val="0000FF"/>
          </w:rPr>
          <w:t>здесь</w:t>
        </w:r>
      </w:hyperlink>
      <w:r>
        <w:t>.</w:t>
      </w: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ind w:firstLine="540"/>
        <w:jc w:val="both"/>
      </w:pPr>
    </w:p>
    <w:p w:rsidR="00DC15A2" w:rsidRDefault="00DC15A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3FD3" w:rsidRDefault="00DA3FD3">
      <w:bookmarkStart w:id="0" w:name="_GoBack"/>
      <w:bookmarkEnd w:id="0"/>
    </w:p>
    <w:sectPr w:rsidR="00DA3FD3" w:rsidSect="00095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5A2"/>
    <w:rsid w:val="00DA3FD3"/>
    <w:rsid w:val="00DC1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1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C1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C15A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C15A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60BB16CB8E1D1E08262F43ADA5A7773FEB26973E19B74CD6216D33DF47A1E2E333236B9045110D0AC4438C62EBA311EA72A5B09ED7CBF7CoBI" TargetMode="External"/><Relationship Id="rId13" Type="http://schemas.openxmlformats.org/officeDocument/2006/relationships/hyperlink" Target="consultantplus://offline/ref=D1160BB16CB8E1D1E08262F133DA5A7770FFBE6F73E39B74CD6216D33DF47A1E2E333236B9045110D0AC4438C62EBA311EA72A5B09ED7CBF7CoBI" TargetMode="External"/><Relationship Id="rId18" Type="http://schemas.openxmlformats.org/officeDocument/2006/relationships/hyperlink" Target="consultantplus://offline/ref=D1160BB16CB8E1D1E0827DE33EDA5A7771FFB56A77E79B74CD6216D33DF47A1E2E333231BE0F054196F21D688465B73806BB2A5271oEI" TargetMode="External"/><Relationship Id="rId26" Type="http://schemas.openxmlformats.org/officeDocument/2006/relationships/hyperlink" Target="consultantplus://offline/ref=D1160BB16CB8E1D1E08262F73BDA5A7770FEB56A78E39B74CD6216D33DF47A1E2E333236B9045115D3AC4438C62EBA311EA72A5B09ED7CBF7CoB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D1160BB16CB8E1D1E08262F43FDA5A777AF9BF6875EFC67EC53B1AD13AFB2509297A3E37B9045112D9F3412DD776B63606B9224D15EF7D7Bo7I" TargetMode="External"/><Relationship Id="rId7" Type="http://schemas.openxmlformats.org/officeDocument/2006/relationships/hyperlink" Target="consultantplus://offline/ref=D1160BB16CB8E1D1E08262F43ADA5A7773FEB26973E19B74CD6216D33DF47A1E2E333236B9045113D5AC4438C62EBA311EA72A5B09ED7CBF7CoBI" TargetMode="External"/><Relationship Id="rId12" Type="http://schemas.openxmlformats.org/officeDocument/2006/relationships/hyperlink" Target="consultantplus://offline/ref=D1160BB16CB8E1D1E08261E339DA5A7775FAB06970EFC67EC53B1AD13AFB2509297A3E37B9045111D9F3412DD776B63606B9224D15EF7D7Bo7I" TargetMode="External"/><Relationship Id="rId17" Type="http://schemas.openxmlformats.org/officeDocument/2006/relationships/hyperlink" Target="consultantplus://offline/ref=D1160BB16CB8E1D1E0827DE33EDA5A7771FCBE6D70E39B74CD6216D33DF47A1E2E333236B801561B86F6543C8F7AB12E18B1345117EE77o5I" TargetMode="External"/><Relationship Id="rId25" Type="http://schemas.openxmlformats.org/officeDocument/2006/relationships/hyperlink" Target="consultantplus://offline/ref=D1160BB16CB8E1D1E08262F73BDA5A7770FEB56A78E39B74CD6216D33DF47A1E2E333236B9045115D2AC4438C62EBA311EA72A5B09ED7CBF7CoB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D1160BB16CB8E1D1E0827DE33EDA5A7771FCB06E72E29B74CD6216D33DF47A1E3C336A3AB8024F10DAB912698377o2I" TargetMode="External"/><Relationship Id="rId20" Type="http://schemas.openxmlformats.org/officeDocument/2006/relationships/hyperlink" Target="consultantplus://offline/ref=D1160BB16CB8E1D1E0827DE33EDA5A7770FFB46978E49B74CD6216D33DF47A1E2E333236B9045015D3AC4438C62EBA311EA72A5B09ED7CBF7CoBI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1160BB16CB8E1D1E08262F43ADA5A7773FEB26973E19B74CD6216D33DF47A1E2E333236B9045113D4AC4438C62EBA311EA72A5B09ED7CBF7CoBI" TargetMode="External"/><Relationship Id="rId11" Type="http://schemas.openxmlformats.org/officeDocument/2006/relationships/hyperlink" Target="consultantplus://offline/ref=D1160BB16CB8E1D1E08262EF3ADA5A7771FCB26572E09B74CD6216D33DF47A1E2E333236B9045110D0AC4438C62EBA311EA72A5B09ED7CBF7CoBI" TargetMode="External"/><Relationship Id="rId24" Type="http://schemas.openxmlformats.org/officeDocument/2006/relationships/hyperlink" Target="consultantplus://offline/ref=D1160BB16CB8E1D1E08262F133DA5A7770FFBE6C75EC9B74CD6216D33DF47A1E2E333236B9045110D0AC4438C62EBA311EA72A5B09ED7CBF7CoB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D1160BB16CB8E1D1E08262E63FDA5A7773FEBF6970EC9B74CD6216D33DF47A1E2E333236B9045110D0AC4438C62EBA311EA72A5B09ED7CBF7CoBI" TargetMode="External"/><Relationship Id="rId23" Type="http://schemas.openxmlformats.org/officeDocument/2006/relationships/hyperlink" Target="consultantplus://offline/ref=D1160BB16CB8E1D1E08261E33ADA5A7777FBB66E74E39B74CD6216D33DF47A1E2E333236B9045112D4AC4438C62EBA311EA72A5B09ED7CBF7CoBI" TargetMode="External"/><Relationship Id="rId28" Type="http://schemas.openxmlformats.org/officeDocument/2006/relationships/hyperlink" Target="consultantplus://offline/ref=D1160BB16CB8E1D1E0827DE33EDA5A7771FCBE6C77E39B74CD6216D33DF47A1E3C336A3AB8024F10DAB912698377o2I" TargetMode="External"/><Relationship Id="rId10" Type="http://schemas.openxmlformats.org/officeDocument/2006/relationships/hyperlink" Target="consultantplus://offline/ref=D1160BB16CB8E1D1E08261E92BAE0F247FFDB46B74E19B74CD6216D33DF47A1E2E333236B9045112DBAC4438C62EBA311EA72A5B09ED7CBF7CoBI" TargetMode="External"/><Relationship Id="rId19" Type="http://schemas.openxmlformats.org/officeDocument/2006/relationships/hyperlink" Target="consultantplus://offline/ref=D1160BB16CB8E1D1E0827DE33EDA5A7771FFB56A77E79B74CD6216D33DF47A1E3C336A3AB8024F10DAB912698377o2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D1160BB16CB8E1D1E08262EF3ADA5A7771FCB26572E09B74CD6216D33DF47A1E2E333236B9045114D0AC4438C62EBA311EA72A5B09ED7CBF7CoBI" TargetMode="External"/><Relationship Id="rId14" Type="http://schemas.openxmlformats.org/officeDocument/2006/relationships/hyperlink" Target="consultantplus://offline/ref=D1160BB16CB8E1D1E08262E63FDA5A7773FEBF6970EC9B74CD6216D33DF47A1E2E333236B9045114D1AC4438C62EBA311EA72A5B09ED7CBF7CoBI" TargetMode="External"/><Relationship Id="rId22" Type="http://schemas.openxmlformats.org/officeDocument/2006/relationships/hyperlink" Target="consultantplus://offline/ref=D1160BB16CB8E1D1E08261E33ADA5A7777FABE6D75EC9B74CD6216D33DF47A1E2E333236B9045112DAAC4438C62EBA311EA72A5B09ED7CBF7CoBI" TargetMode="External"/><Relationship Id="rId27" Type="http://schemas.openxmlformats.org/officeDocument/2006/relationships/hyperlink" Target="consultantplus://offline/ref=D1160BB16CB8E1D1E08262F73BDA5A7770FEB56A78E39B74CD6216D33DF47A1E2E333236B9045110D0AC4438C62EBA311EA72A5B09ED7CBF7CoBI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2019-08-16T08:40:00Z</dcterms:created>
  <dcterms:modified xsi:type="dcterms:W3CDTF">2019-08-16T08:41:00Z</dcterms:modified>
</cp:coreProperties>
</file>