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1B" w:rsidRDefault="003E12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121B" w:rsidRDefault="003E121B">
      <w:pPr>
        <w:pStyle w:val="ConsPlusNormal"/>
        <w:jc w:val="both"/>
        <w:outlineLvl w:val="0"/>
      </w:pPr>
    </w:p>
    <w:p w:rsidR="003E121B" w:rsidRDefault="003E121B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Title"/>
        <w:jc w:val="center"/>
      </w:pPr>
      <w:r>
        <w:t>ПОЛУЧИТЬ ДЕНЬГИ ПО БАНКОВСКОЙ ГАРАНТИИ СТАНОВИТСЯ ПРОЩЕ:</w:t>
      </w:r>
    </w:p>
    <w:p w:rsidR="003E121B" w:rsidRDefault="003E121B">
      <w:pPr>
        <w:pStyle w:val="ConsPlusTitle"/>
        <w:jc w:val="center"/>
      </w:pPr>
      <w:r>
        <w:t>ВЕРХОВНЫЙ СУД ЗАЩИТИЛ БЕНЕФИЦИАРОВ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3E121B" w:rsidRDefault="003E121B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06.06.2019.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t xml:space="preserve">Президиум разобрал более десятка ситуаций, в которых признал незаконным отказ банков платить по гарантии. В </w:t>
      </w:r>
      <w:hyperlink r:id="rId6" w:history="1">
        <w:r>
          <w:rPr>
            <w:color w:val="0000FF"/>
          </w:rPr>
          <w:t>обзоре</w:t>
        </w:r>
      </w:hyperlink>
      <w:r>
        <w:t xml:space="preserve"> есть и выводы, полезные для принципалов. Например, о возможности взыскать с заказчика по госконтракту уплаченные за гарантию деньги.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Title"/>
        <w:ind w:firstLine="540"/>
        <w:jc w:val="both"/>
        <w:outlineLvl w:val="0"/>
      </w:pPr>
      <w:r>
        <w:t>Когда банк не может отказаться платить по гарантии</w:t>
      </w:r>
    </w:p>
    <w:p w:rsidR="003E121B" w:rsidRDefault="003E121B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0"/>
        <w:gridCol w:w="3131"/>
        <w:gridCol w:w="1388"/>
        <w:gridCol w:w="1388"/>
      </w:tblGrid>
      <w:tr w:rsidR="003E121B">
        <w:tc>
          <w:tcPr>
            <w:tcW w:w="3130" w:type="dxa"/>
          </w:tcPr>
          <w:p w:rsidR="003E121B" w:rsidRDefault="003E121B">
            <w:pPr>
              <w:pStyle w:val="ConsPlusNormal"/>
              <w:jc w:val="center"/>
            </w:pPr>
            <w:r>
              <w:t>Возражения банка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  <w:jc w:val="center"/>
            </w:pPr>
            <w:r>
              <w:t>Позиция ВС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r>
              <w:t>Применимые нормы законов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r>
              <w:t>Пункт обзора ВС</w:t>
            </w:r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Гарантия не действует: бенефициар письменно не известил гаранта о том, что принял ее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Банк будет прав только в том случае, если такой порядок вступления гарантии в силу предусмотрен в ее тексте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ст. 373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1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В тексте гарантии не указано наименование бенефициара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Нельзя ссылаться на это обстоятельство, если бенефициар достоверно установлен. Например, банк сам направил ему гарантию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п. 3 ст. 432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2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Срок гарантии не определен: его начало поставлено под условие совершения бенефициаром действий по исполнению основного договора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Возражения банка неправомерны, никакой неопределенности в сроке действия гарантии нет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п. 1 ст. 157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3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Банк получил требование, направленное по почте в пределах срока гарантии, после его истечения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Отказ платить будет законным только тогда, когда в тексте гарантии предусмотрена необходимость получения гарантом требования до истечения срока гарантии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п. 2 ст. 194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4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Гарантия была предоставлена до начала торгов, в ней была указана начальная цена договора.</w:t>
            </w:r>
          </w:p>
          <w:p w:rsidR="003E121B" w:rsidRDefault="003E121B">
            <w:pPr>
              <w:pStyle w:val="ConsPlusNormal"/>
            </w:pPr>
            <w:r>
              <w:t xml:space="preserve">Окончательная цена договора изменилась по сравнению с </w:t>
            </w:r>
            <w:proofErr w:type="gramStart"/>
            <w:r>
              <w:t>начальной</w:t>
            </w:r>
            <w:proofErr w:type="gramEnd"/>
            <w:r>
              <w:t xml:space="preserve">, гарантия не </w:t>
            </w:r>
            <w:r>
              <w:lastRenderedPageBreak/>
              <w:t>действует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lastRenderedPageBreak/>
              <w:t>Отказ платить незаконен.</w:t>
            </w:r>
          </w:p>
          <w:p w:rsidR="003E121B" w:rsidRDefault="003E121B">
            <w:pPr>
              <w:pStyle w:val="ConsPlusNormal"/>
            </w:pPr>
            <w:r>
              <w:t>Банк знал, что выдает гарантию в обеспечении сделки на торгах, а значит, понимал, что цена в итоге будет скорректирована.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п. 1 ст. 368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5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lastRenderedPageBreak/>
              <w:t>Без согласия банка бенефициар и принципал изменили условия основного договора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Отказ незаконен, объем обязательств гаранта не изменяется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п. 1</w:t>
              </w:r>
            </w:hyperlink>
            <w:r>
              <w:t xml:space="preserve">, </w:t>
            </w:r>
            <w:hyperlink r:id="rId18" w:history="1">
              <w:r>
                <w:rPr>
                  <w:color w:val="0000FF"/>
                </w:rPr>
                <w:t>2 ст. 370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6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Суд признал соглашение с принципалом о выдаче гарантии недействительным или незаключенным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Отказ платить по гарантии правомерен только в том случае, если будет доказано, что бенефициар знал о незаконности выдачи гарантии в момент ее получения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п. 2 ст. 370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7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Бенефициар приложил к требованию незаверенную копию платежки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Отказ неправомерен, если в гарантии нет требования о том, что копия платежки должна быть заверена</w:t>
            </w:r>
          </w:p>
        </w:tc>
        <w:tc>
          <w:tcPr>
            <w:tcW w:w="1388" w:type="dxa"/>
            <w:vMerge w:val="restart"/>
          </w:tcPr>
          <w:p w:rsidR="003E121B" w:rsidRDefault="003E121B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п. 2 ст. 370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п. 3 ст. 375</w:t>
              </w:r>
            </w:hyperlink>
            <w:r>
              <w:t xml:space="preserve"> ГК РФ</w:t>
            </w:r>
          </w:p>
        </w:tc>
        <w:tc>
          <w:tcPr>
            <w:tcW w:w="1388" w:type="dxa"/>
            <w:vMerge w:val="restart"/>
          </w:tcPr>
          <w:p w:rsidR="003E121B" w:rsidRDefault="003E121B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9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Банк посчитал, что бенефициар неправильно рассчитал сумму убытков по основному договору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Отказ неправомерен, если гарантия не содержит положений о порядке выполнения и оформления расчета суммы убытков. Банк не вправе исследовать отношения между принципалом и бенефициаром</w:t>
            </w:r>
          </w:p>
        </w:tc>
        <w:tc>
          <w:tcPr>
            <w:tcW w:w="1388" w:type="dxa"/>
            <w:vMerge/>
          </w:tcPr>
          <w:p w:rsidR="003E121B" w:rsidRDefault="003E121B"/>
        </w:tc>
        <w:tc>
          <w:tcPr>
            <w:tcW w:w="1388" w:type="dxa"/>
            <w:vMerge/>
          </w:tcPr>
          <w:p w:rsidR="003E121B" w:rsidRDefault="003E121B"/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>К требованию о платеже по гарантии, обеспечивающей госконтракт, не приложен оригинал гарантии на бумаге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Отказ неправомерен, даже если такое условие содержится в тексте гарантии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п. 7 ч. 2 ст. 45</w:t>
              </w:r>
            </w:hyperlink>
            <w:r>
              <w:t xml:space="preserve"> Закона N 44-ФЗ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10</w:t>
              </w:r>
            </w:hyperlink>
          </w:p>
        </w:tc>
      </w:tr>
      <w:tr w:rsidR="003E121B">
        <w:tc>
          <w:tcPr>
            <w:tcW w:w="3130" w:type="dxa"/>
          </w:tcPr>
          <w:p w:rsidR="003E121B" w:rsidRDefault="003E121B">
            <w:pPr>
              <w:pStyle w:val="ConsPlusNormal"/>
            </w:pPr>
            <w:r>
              <w:t xml:space="preserve">По мнению </w:t>
            </w:r>
            <w:proofErr w:type="gramStart"/>
            <w:r>
              <w:t>банка</w:t>
            </w:r>
            <w:proofErr w:type="gramEnd"/>
            <w:r>
              <w:t xml:space="preserve"> бенефициар нарушил условия основного договора</w:t>
            </w:r>
          </w:p>
        </w:tc>
        <w:tc>
          <w:tcPr>
            <w:tcW w:w="3131" w:type="dxa"/>
          </w:tcPr>
          <w:p w:rsidR="003E121B" w:rsidRDefault="003E121B">
            <w:pPr>
              <w:pStyle w:val="ConsPlusNormal"/>
            </w:pPr>
            <w:r>
              <w:t>Отказ платить по гарантии незаконен, ведь он независим от основного обязательства. Отход от этого принципа возможен только при наличии признаков злоупотребления со стороны бенефициара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п. 1 ст. 376</w:t>
              </w:r>
            </w:hyperlink>
            <w:r>
              <w:t xml:space="preserve"> ГК РФ</w:t>
            </w:r>
          </w:p>
        </w:tc>
        <w:tc>
          <w:tcPr>
            <w:tcW w:w="1388" w:type="dxa"/>
          </w:tcPr>
          <w:p w:rsidR="003E121B" w:rsidRDefault="003E121B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11</w:t>
              </w:r>
            </w:hyperlink>
          </w:p>
        </w:tc>
      </w:tr>
    </w:tbl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Title"/>
        <w:ind w:firstLine="540"/>
        <w:jc w:val="both"/>
        <w:outlineLvl w:val="0"/>
      </w:pPr>
      <w:r>
        <w:t>Если банк не платит по гарантии, направлять претензию перед обращением в суд не нужно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t>Однократное требование произвести платеж по гарантии является достаточной мерой соблюдения досудебного урегулирования спора (</w:t>
      </w:r>
      <w:hyperlink r:id="rId29" w:history="1">
        <w:r>
          <w:rPr>
            <w:color w:val="0000FF"/>
          </w:rPr>
          <w:t>п. 17</w:t>
        </w:r>
      </w:hyperlink>
      <w:r>
        <w:t xml:space="preserve"> Обзора).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Title"/>
        <w:ind w:firstLine="540"/>
        <w:jc w:val="both"/>
        <w:outlineLvl w:val="0"/>
      </w:pPr>
      <w:r>
        <w:t>Бенефициар имеет право обратиться в суд в пределах общего трехлетнего срока исковой давности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t>Если требование по гарантии заявлено в пределах срока ее действия, то неисполнение этого требования можно обжаловать в пределах общего срока исковой давности (</w:t>
      </w:r>
      <w:hyperlink r:id="rId30" w:history="1">
        <w:r>
          <w:rPr>
            <w:color w:val="0000FF"/>
          </w:rPr>
          <w:t>п. 15</w:t>
        </w:r>
      </w:hyperlink>
      <w:r>
        <w:t xml:space="preserve"> Обзора).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Title"/>
        <w:ind w:firstLine="540"/>
        <w:jc w:val="both"/>
        <w:outlineLvl w:val="0"/>
      </w:pPr>
      <w:r>
        <w:t>Принципал вправе взыскать излишне полученные бенефициаром деньги по гарантии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lastRenderedPageBreak/>
        <w:t>Банк выплатил средства по гарантии, а затем в безакцептном порядке списал эту сумму со счета принципала. Принципал посчитал, что средства списаны неправомерно - заказчик не имел оснований требовать деньги по гарантии. Вместе с тем у банка не было формальных оснований отказать бенефициару.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t>В такой ситуации принципал вправе потребовать возврата средств от бенефициара. Взыскивать эти средства с банка в качестве неосновательного обогащения нельзя, даже если он участвовал в споре между бенефициаром и принципалом по поводу исполнения основного обязательства (</w:t>
      </w:r>
      <w:hyperlink r:id="rId31" w:history="1">
        <w:r>
          <w:rPr>
            <w:color w:val="0000FF"/>
          </w:rPr>
          <w:t>п. п. 12</w:t>
        </w:r>
      </w:hyperlink>
      <w:r>
        <w:t xml:space="preserve">, </w:t>
      </w:r>
      <w:hyperlink r:id="rId32" w:history="1">
        <w:r>
          <w:rPr>
            <w:color w:val="0000FF"/>
          </w:rPr>
          <w:t>16</w:t>
        </w:r>
      </w:hyperlink>
      <w:r>
        <w:t xml:space="preserve"> Обзора)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Title"/>
        <w:ind w:firstLine="540"/>
        <w:jc w:val="both"/>
        <w:outlineLvl w:val="0"/>
      </w:pPr>
      <w:r>
        <w:t>Исполнитель по контракту по Закону N 44-ФЗ вправе взыскать с заказчика средства на оплату банковской гарантии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t xml:space="preserve">Расходы на оплату банковской гарантии являются убытками исполнителя, с которым контракт </w:t>
      </w:r>
      <w:proofErr w:type="gramStart"/>
      <w:r>
        <w:t>был</w:t>
      </w:r>
      <w:proofErr w:type="gramEnd"/>
      <w:r>
        <w:t xml:space="preserve"> расторгнут по вине заказчика (</w:t>
      </w:r>
      <w:hyperlink r:id="rId33" w:history="1">
        <w:r>
          <w:rPr>
            <w:color w:val="0000FF"/>
          </w:rPr>
          <w:t>п. 13</w:t>
        </w:r>
      </w:hyperlink>
      <w:r>
        <w:t xml:space="preserve"> Обзора).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Title"/>
        <w:ind w:firstLine="540"/>
        <w:jc w:val="both"/>
        <w:outlineLvl w:val="0"/>
      </w:pPr>
      <w:r>
        <w:t>Отзыв лицензии у банка не прекращает действие гарантии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r>
        <w:t>Возможно, придется выплатить банку какую-то часть вознаграждения за полученную гарантию. Ее действие не прекратилось, хотя снизилось качество обеспечения. На какое вознаграждение может претендовать банк, определит суд (</w:t>
      </w:r>
      <w:hyperlink r:id="rId34" w:history="1">
        <w:r>
          <w:rPr>
            <w:color w:val="0000FF"/>
          </w:rPr>
          <w:t>п. 14</w:t>
        </w:r>
      </w:hyperlink>
      <w:r>
        <w:t xml:space="preserve"> Обзора).</w:t>
      </w:r>
    </w:p>
    <w:p w:rsidR="003E121B" w:rsidRDefault="003E121B">
      <w:pPr>
        <w:pStyle w:val="ConsPlusNormal"/>
        <w:spacing w:before="220"/>
        <w:ind w:firstLine="540"/>
        <w:jc w:val="both"/>
      </w:pPr>
      <w:r>
        <w:t xml:space="preserve">Напомним, что с 1 июля заказчики по </w:t>
      </w:r>
      <w:hyperlink r:id="rId35" w:history="1">
        <w:r>
          <w:rPr>
            <w:color w:val="0000FF"/>
          </w:rPr>
          <w:t>Закону</w:t>
        </w:r>
      </w:hyperlink>
      <w:r>
        <w:t xml:space="preserve"> N 44-ФЗ </w:t>
      </w:r>
      <w:hyperlink r:id="rId36" w:history="1">
        <w:r>
          <w:rPr>
            <w:color w:val="0000FF"/>
          </w:rPr>
          <w:t>будут включать в контракты</w:t>
        </w:r>
      </w:hyperlink>
      <w:r>
        <w:t xml:space="preserve"> условие о том, что в случае отзыва лицензии у банка исполнитель будет обязан заменить обеспечение в течение месяца с момента получения уведомления от заказчика.</w:t>
      </w:r>
    </w:p>
    <w:p w:rsidR="003E121B" w:rsidRDefault="003E121B">
      <w:pPr>
        <w:pStyle w:val="ConsPlusNormal"/>
        <w:spacing w:before="220"/>
        <w:ind w:firstLine="540"/>
        <w:jc w:val="both"/>
      </w:pPr>
      <w:r>
        <w:t xml:space="preserve">О грядущих изменениях </w:t>
      </w:r>
      <w:hyperlink r:id="rId37" w:history="1">
        <w:r>
          <w:rPr>
            <w:color w:val="0000FF"/>
          </w:rPr>
          <w:t>Закона</w:t>
        </w:r>
      </w:hyperlink>
      <w:r>
        <w:t xml:space="preserve"> N 44-ФЗ вы можете узнать из нашего </w:t>
      </w:r>
      <w:hyperlink r:id="rId38" w:history="1">
        <w:r>
          <w:rPr>
            <w:color w:val="0000FF"/>
          </w:rPr>
          <w:t>обзора</w:t>
        </w:r>
      </w:hyperlink>
      <w:r>
        <w:t>.</w:t>
      </w: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  <w:hyperlink r:id="rId39" w:history="1">
        <w:r>
          <w:rPr>
            <w:i/>
            <w:color w:val="0000FF"/>
          </w:rPr>
          <w:t>Документ: Обзор судебной практики разрешения споров, связанных с применением законодательства о независимой гарантии, утв. Президиумом ВС РФ 05.06.2019</w:t>
        </w:r>
      </w:hyperlink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ind w:firstLine="540"/>
        <w:jc w:val="both"/>
      </w:pPr>
    </w:p>
    <w:p w:rsidR="003E121B" w:rsidRDefault="003E12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46EC" w:rsidRDefault="007346EC">
      <w:bookmarkStart w:id="0" w:name="_GoBack"/>
      <w:bookmarkEnd w:id="0"/>
    </w:p>
    <w:sectPr w:rsidR="007346EC" w:rsidSect="00E3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1B"/>
    <w:rsid w:val="003E121B"/>
    <w:rsid w:val="0073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1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1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1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ABBA5542D53B07B31AD8311B89B2BFF21E388D9A95F86DC3D0F07102DB53918C493C4BAC878442A5280CC9230CACB85FFABC26F8402F1V4n0H" TargetMode="External"/><Relationship Id="rId13" Type="http://schemas.openxmlformats.org/officeDocument/2006/relationships/hyperlink" Target="consultantplus://offline/ref=2FCABBA5542D53B07B31AD8311B89B2BFF22E78CDDA15F86DC3D0F07102DB53918C493C4BAC978432D5280CC9230CACB85FFABC26F8402F1V4n0H" TargetMode="External"/><Relationship Id="rId18" Type="http://schemas.openxmlformats.org/officeDocument/2006/relationships/hyperlink" Target="consultantplus://offline/ref=2FCABBA5542D53B07B31AD8311B89B2BFF22E78CDDA15F86DC3D0F07102DB53918C493C4BACE7A41250D85D98368C6CC9DE1A3D4738603VFn9H" TargetMode="External"/><Relationship Id="rId26" Type="http://schemas.openxmlformats.org/officeDocument/2006/relationships/hyperlink" Target="consultantplus://offline/ref=2FCABBA5542D53B07B31AD8311B89B2BFF21E388D9A95F86DC3D0F07102DB53918C493C4BAC8784C2C5280CC9230CACB85FFABC26F8402F1V4n0H" TargetMode="External"/><Relationship Id="rId39" Type="http://schemas.openxmlformats.org/officeDocument/2006/relationships/hyperlink" Target="consultantplus://offline/ref=2FCABBA5542D53B07B31AD8311B89B2BFF21E388D9A95F86DC3D0F07102DB5390AC4CBC8BBCE66442647D69DD7V6n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CABBA5542D53B07B31AD8311B89B2BFF21E388D9A95F86DC3D0F07102DB53918C493C4BAC878412A5280CC9230CACB85FFABC26F8402F1V4n0H" TargetMode="External"/><Relationship Id="rId34" Type="http://schemas.openxmlformats.org/officeDocument/2006/relationships/hyperlink" Target="consultantplus://offline/ref=2FCABBA5542D53B07B31AD8311B89B2BFF21E388D9A95F86DC3D0F07102DB53918C493C4BAC87946295280CC9230CACB85FFABC26F8402F1V4n0H" TargetMode="External"/><Relationship Id="rId7" Type="http://schemas.openxmlformats.org/officeDocument/2006/relationships/hyperlink" Target="consultantplus://offline/ref=2FCABBA5542D53B07B31AD8311B89B2BFF22E78CDDA15F86DC3D0F07102DB53918C493C4BACE7B42250D85D98368C6CC9DE1A3D4738603VFn9H" TargetMode="External"/><Relationship Id="rId12" Type="http://schemas.openxmlformats.org/officeDocument/2006/relationships/hyperlink" Target="consultantplus://offline/ref=2FCABBA5542D53B07B31AD8311B89B2BFF21E388D9A95F86DC3D0F07102DB53918C493C4BAC87845275280CC9230CACB85FFABC26F8402F1V4n0H" TargetMode="External"/><Relationship Id="rId17" Type="http://schemas.openxmlformats.org/officeDocument/2006/relationships/hyperlink" Target="consultantplus://offline/ref=2FCABBA5542D53B07B31AD8311B89B2BFF22E78CDDA15F86DC3D0F07102DB53918C493C4BACE7A40250D85D98368C6CC9DE1A3D4738603VFn9H" TargetMode="External"/><Relationship Id="rId25" Type="http://schemas.openxmlformats.org/officeDocument/2006/relationships/hyperlink" Target="consultantplus://offline/ref=2FCABBA5542D53B07B31AD8311B89B2BFF21E189DFAF5F86DC3D0F07102DB53918C493C4BAC87D41265280CC9230CACB85FFABC26F8402F1V4n0H" TargetMode="External"/><Relationship Id="rId33" Type="http://schemas.openxmlformats.org/officeDocument/2006/relationships/hyperlink" Target="consultantplus://offline/ref=2FCABBA5542D53B07B31AD8311B89B2BFF21E388D9A95F86DC3D0F07102DB53918C493C4BAC87945265280CC9230CACB85FFABC26F8402F1V4n0H" TargetMode="External"/><Relationship Id="rId38" Type="http://schemas.openxmlformats.org/officeDocument/2006/relationships/hyperlink" Target="consultantplus://offline/ref=2FCABBA5542D53B07B31AD8311B89B2BFF22E189DAA95F86DC3D0F07102DB5390AC4CBC8BBCE66442647D69DD7V6n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CABBA5542D53B07B31AD8311B89B2BFF21E388D9A95F86DC3D0F07102DB53918C493C4BAC87847265280CC9230CACB85FFABC26F8402F1V4n0H" TargetMode="External"/><Relationship Id="rId20" Type="http://schemas.openxmlformats.org/officeDocument/2006/relationships/hyperlink" Target="consultantplus://offline/ref=2FCABBA5542D53B07B31AD8311B89B2BFF22E78CDDA15F86DC3D0F07102DB53918C493C4BACE7A41250D85D98368C6CC9DE1A3D4738603VFn9H" TargetMode="External"/><Relationship Id="rId29" Type="http://schemas.openxmlformats.org/officeDocument/2006/relationships/hyperlink" Target="consultantplus://offline/ref=2FCABBA5542D53B07B31AD8311B89B2BFF21E388D9A95F86DC3D0F07102DB53918C493C4BAC879412E5280CC9230CACB85FFABC26F8402F1V4n0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CABBA5542D53B07B31AD8311B89B2BFF21E388D9A95F86DC3D0F07102DB5390AC4CBC8BBCE66442647D69DD7V6nCH" TargetMode="External"/><Relationship Id="rId11" Type="http://schemas.openxmlformats.org/officeDocument/2006/relationships/hyperlink" Target="consultantplus://offline/ref=2FCABBA5542D53B07B31AD8311B89B2BFF22E78CDDA15F86DC3D0F07102DB53918C493C4BAC871442D5280CC9230CACB85FFABC26F8402F1V4n0H" TargetMode="External"/><Relationship Id="rId24" Type="http://schemas.openxmlformats.org/officeDocument/2006/relationships/hyperlink" Target="consultantplus://offline/ref=2FCABBA5542D53B07B31AD8311B89B2BFF21E388D9A95F86DC3D0F07102DB53918C493C4BAC878432E5280CC9230CACB85FFABC26F8402F1V4n0H" TargetMode="External"/><Relationship Id="rId32" Type="http://schemas.openxmlformats.org/officeDocument/2006/relationships/hyperlink" Target="consultantplus://offline/ref=2FCABBA5542D53B07B31AD8311B89B2BFF21E388D9A95F86DC3D0F07102DB53918C493C4BAC879402D5280CC9230CACB85FFABC26F8402F1V4n0H" TargetMode="External"/><Relationship Id="rId37" Type="http://schemas.openxmlformats.org/officeDocument/2006/relationships/hyperlink" Target="consultantplus://offline/ref=2FCABBA5542D53B07B31AD8311B89B2BFF21E189DFAF5F86DC3D0F07102DB5390AC4CBC8BBCE66442647D69DD7V6nCH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CABBA5542D53B07B31AD8311B89B2BFF22E78CDDA15F86DC3D0F07102DB53918C493C4BACE7843250D85D98368C6CC9DE1A3D4738603VFn9H" TargetMode="External"/><Relationship Id="rId23" Type="http://schemas.openxmlformats.org/officeDocument/2006/relationships/hyperlink" Target="consultantplus://offline/ref=2FCABBA5542D53B07B31AD8311B89B2BFF22E78CDDA15F86DC3D0F07102DB53918C493C4BACE7C47250D85D98368C6CC9DE1A3D4738603VFn9H" TargetMode="External"/><Relationship Id="rId28" Type="http://schemas.openxmlformats.org/officeDocument/2006/relationships/hyperlink" Target="consultantplus://offline/ref=2FCABBA5542D53B07B31AD8311B89B2BFF21E388D9A95F86DC3D0F07102DB53918C493C4BAC8784D2E5280CC9230CACB85FFABC26F8402F1V4n0H" TargetMode="External"/><Relationship Id="rId36" Type="http://schemas.openxmlformats.org/officeDocument/2006/relationships/hyperlink" Target="consultantplus://offline/ref=2FCABBA5542D53B07B31AD8311B89B2BFF22E18FDEAA5F86DC3D0F07102DB53918C493C4BAC87845295280CC9230CACB85FFABC26F8402F1V4n0H" TargetMode="External"/><Relationship Id="rId10" Type="http://schemas.openxmlformats.org/officeDocument/2006/relationships/hyperlink" Target="consultantplus://offline/ref=2FCABBA5542D53B07B31AD8311B89B2BFF21E388D9A95F86DC3D0F07102DB53918C493C4BAC878452E5280CC9230CACB85FFABC26F8402F1V4n0H" TargetMode="External"/><Relationship Id="rId19" Type="http://schemas.openxmlformats.org/officeDocument/2006/relationships/hyperlink" Target="consultantplus://offline/ref=2FCABBA5542D53B07B31AD8311B89B2BFF21E388D9A95F86DC3D0F07102DB53918C493C4BAC87840265280CC9230CACB85FFABC26F8402F1V4n0H" TargetMode="External"/><Relationship Id="rId31" Type="http://schemas.openxmlformats.org/officeDocument/2006/relationships/hyperlink" Target="consultantplus://offline/ref=2FCABBA5542D53B07B31AD8311B89B2BFF21E388D9A95F86DC3D0F07102DB53918C493C4BAC87944285280CC9230CACB85FFABC26F8402F1V4n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ABBA5542D53B07B31AD8311B89B2BFF22E78CDDA15F86DC3D0F07102DB53918C493C4BACF7F43250D85D98368C6CC9DE1A3D4738603VFn9H" TargetMode="External"/><Relationship Id="rId14" Type="http://schemas.openxmlformats.org/officeDocument/2006/relationships/hyperlink" Target="consultantplus://offline/ref=2FCABBA5542D53B07B31AD8311B89B2BFF21E388D9A95F86DC3D0F07102DB53918C493C4BAC87846265280CC9230CACB85FFABC26F8402F1V4n0H" TargetMode="External"/><Relationship Id="rId22" Type="http://schemas.openxmlformats.org/officeDocument/2006/relationships/hyperlink" Target="consultantplus://offline/ref=2FCABBA5542D53B07B31AD8311B89B2BFF22E78CDDA15F86DC3D0F07102DB53918C493C4BACE7A41250D85D98368C6CC9DE1A3D4738603VFn9H" TargetMode="External"/><Relationship Id="rId27" Type="http://schemas.openxmlformats.org/officeDocument/2006/relationships/hyperlink" Target="consultantplus://offline/ref=2FCABBA5542D53B07B31AD8311B89B2BFF22E78CDDA15F86DC3D0F07102DB53918C493C4BACE7C43250D85D98368C6CC9DE1A3D4738603VFn9H" TargetMode="External"/><Relationship Id="rId30" Type="http://schemas.openxmlformats.org/officeDocument/2006/relationships/hyperlink" Target="consultantplus://offline/ref=2FCABBA5542D53B07B31AD8311B89B2BFF21E388D9A95F86DC3D0F07102DB53918C493C4BAC879472B5280CC9230CACB85FFABC26F8402F1V4n0H" TargetMode="External"/><Relationship Id="rId35" Type="http://schemas.openxmlformats.org/officeDocument/2006/relationships/hyperlink" Target="consultantplus://offline/ref=2FCABBA5542D53B07B31AD8311B89B2BFF21E189DFAF5F86DC3D0F07102DB5390AC4CBC8BBCE66442647D69DD7V6n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2019-08-16T07:39:00Z</dcterms:created>
  <dcterms:modified xsi:type="dcterms:W3CDTF">2019-08-16T07:39:00Z</dcterms:modified>
</cp:coreProperties>
</file>