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7B1" w:rsidRDefault="00DA77B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A77B1" w:rsidRDefault="00DA77B1">
      <w:pPr>
        <w:pStyle w:val="ConsPlusNormal"/>
        <w:jc w:val="both"/>
        <w:outlineLvl w:val="0"/>
      </w:pPr>
    </w:p>
    <w:p w:rsidR="00DA77B1" w:rsidRDefault="00DA77B1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DA77B1" w:rsidRDefault="00DA77B1">
      <w:pPr>
        <w:pStyle w:val="ConsPlusNormal"/>
        <w:jc w:val="both"/>
      </w:pPr>
    </w:p>
    <w:p w:rsidR="00DA77B1" w:rsidRDefault="00DA77B1">
      <w:pPr>
        <w:pStyle w:val="ConsPlusTitle"/>
        <w:jc w:val="center"/>
      </w:pPr>
      <w:r>
        <w:t>МИНФИН РАЗЪЯСНИЛ, КАК ПРИМЕНЯТЬ ПРЕФЕРЕНЦИЮ В ГОСЗАКУПКАХ</w:t>
      </w:r>
    </w:p>
    <w:p w:rsidR="00DA77B1" w:rsidRDefault="00DA77B1">
      <w:pPr>
        <w:pStyle w:val="ConsPlusTitle"/>
        <w:jc w:val="center"/>
      </w:pPr>
      <w:r>
        <w:t>С НЕИЗВЕСТНЫМ ОБЪЕМОМ И ДРУГИЕ ВОПРОСЫ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02.07.2020.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</w:pPr>
      <w:r>
        <w:t>Ведомство разобралось в вопросе применения преференции в закупках с неизвестным объемом. Также оно указало, на что обратить внимание при приобретении работ по обустройству городской улицы, проведении совместной закупки, заключении контракта со вторым участником.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  <w:outlineLvl w:val="0"/>
      </w:pPr>
      <w:r>
        <w:rPr>
          <w:b/>
        </w:rPr>
        <w:t>Как применять преференцию в закупках с неизвестным объемом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Условия допуска иностранных товаров установлены </w:t>
      </w:r>
      <w:hyperlink r:id="rId6" w:history="1">
        <w:r>
          <w:rPr>
            <w:color w:val="0000FF"/>
          </w:rPr>
          <w:t>Приказом</w:t>
        </w:r>
      </w:hyperlink>
      <w:r>
        <w:t xml:space="preserve"> Минфина от 04.06.2018 N 126н.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Так, при заключении контракта по результатам аукциона </w:t>
      </w:r>
      <w:hyperlink r:id="rId7" w:history="1">
        <w:r>
          <w:rPr>
            <w:color w:val="0000FF"/>
          </w:rPr>
          <w:t>надо снизить цену</w:t>
        </w:r>
      </w:hyperlink>
      <w:r>
        <w:t>, предложенную победителем, на 15%, если им к поставке предложен хотя бы один товар не из ЕАЭС.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8" w:history="1">
        <w:r>
          <w:rPr>
            <w:color w:val="0000FF"/>
          </w:rPr>
          <w:t>уточнило</w:t>
        </w:r>
      </w:hyperlink>
      <w:r>
        <w:t>: при закупке с неизвестным объемом такое снижение следует производить от суммы цен единиц товара (работы, услуги), предложенной победителем аукциона.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В проект контракта </w:t>
      </w:r>
      <w:hyperlink r:id="rId9" w:history="1">
        <w:r>
          <w:rPr>
            <w:color w:val="0000FF"/>
          </w:rPr>
          <w:t>необходимо включить</w:t>
        </w:r>
      </w:hyperlink>
      <w:r>
        <w:t>: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>- максимальное значение цены контракта;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>- цену единицы товара (работы, услуги), рассчитанную пропорционально снижению начальной суммы цен.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  <w:outlineLvl w:val="0"/>
      </w:pPr>
      <w:r>
        <w:rPr>
          <w:b/>
        </w:rPr>
        <w:t>Можно ли закупить работы по обустройству городской улицы по КЖЦ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Заказчик </w:t>
      </w:r>
      <w:hyperlink r:id="rId10" w:history="1">
        <w:r>
          <w:rPr>
            <w:color w:val="0000FF"/>
          </w:rPr>
          <w:t>вправе</w:t>
        </w:r>
      </w:hyperlink>
      <w:r>
        <w:t xml:space="preserve"> заключить КЖЦ, если его предметом являются новые машины и оборудование, а также в </w:t>
      </w:r>
      <w:hyperlink r:id="rId11" w:history="1">
        <w:r>
          <w:rPr>
            <w:color w:val="0000FF"/>
          </w:rPr>
          <w:t>иных случаях</w:t>
        </w:r>
      </w:hyperlink>
      <w:r>
        <w:t>, установленных правительством.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>Среди прочего, предметом такого контракта могут быть: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работы</w:t>
        </w:r>
      </w:hyperlink>
      <w:r>
        <w:t xml:space="preserve"> по строительству, содержанию автодорог (их участков) и (или) работы по их ремонту;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- </w:t>
      </w:r>
      <w:hyperlink r:id="rId13" w:history="1">
        <w:r>
          <w:rPr>
            <w:color w:val="0000FF"/>
          </w:rPr>
          <w:t>работы</w:t>
        </w:r>
      </w:hyperlink>
      <w:r>
        <w:t xml:space="preserve"> по проектированию и строительству объектов системы коммунальной инфраструктуры.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4" w:history="1">
        <w:r>
          <w:rPr>
            <w:color w:val="0000FF"/>
          </w:rPr>
          <w:t>отметило</w:t>
        </w:r>
      </w:hyperlink>
      <w:r>
        <w:t>, что обустройство городской улицы - это сложный линейный объект. Он включает в себя работы по строительству автодороги и устройству коммунальной инфраструктуры. Но к случаям заключения КЖЦ он не относится, поскольку отдельного основания для такой закупки нет.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Также Минфин </w:t>
      </w:r>
      <w:hyperlink r:id="rId15" w:history="1">
        <w:r>
          <w:rPr>
            <w:color w:val="0000FF"/>
          </w:rPr>
          <w:t>напомнил</w:t>
        </w:r>
      </w:hyperlink>
      <w:r>
        <w:t xml:space="preserve">, что заказчик формирует объект закупки исходя из своих потребностей. Однако объединение в один лот различных товаров (работ, услуг) </w:t>
      </w:r>
      <w:hyperlink r:id="rId16" w:history="1">
        <w:r>
          <w:rPr>
            <w:color w:val="0000FF"/>
          </w:rPr>
          <w:t>могут признать</w:t>
        </w:r>
      </w:hyperlink>
      <w:r>
        <w:t xml:space="preserve"> необоснованным, ограничивающим конкуренцию.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lastRenderedPageBreak/>
        <w:t>Полагаем, чтобы избежать претензий со стороны контрольных органов, лучше закупать работы, входящие в предмет контракта на обустройство городской улицы, отдельными лотами.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  <w:outlineLvl w:val="0"/>
      </w:pPr>
      <w:r>
        <w:rPr>
          <w:b/>
        </w:rPr>
        <w:t>На что обратить внимание при заключении контракта со вторым участником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При расторжении контракта по любому основанию новый </w:t>
      </w:r>
      <w:hyperlink r:id="rId17" w:history="1">
        <w:r>
          <w:rPr>
            <w:color w:val="0000FF"/>
          </w:rPr>
          <w:t>можно заключить</w:t>
        </w:r>
      </w:hyperlink>
      <w:r>
        <w:t xml:space="preserve"> с участником, заявке которого присвоен второй номер (с его согласия). Если обязательства частично исполнены, то при заключении нового контракта количество товара (работы, услуги) должно быть пропорционально уменьшено.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Ведомство </w:t>
      </w:r>
      <w:hyperlink r:id="rId18" w:history="1">
        <w:r>
          <w:rPr>
            <w:color w:val="0000FF"/>
          </w:rPr>
          <w:t>разъяснило</w:t>
        </w:r>
      </w:hyperlink>
      <w:r>
        <w:t>: срок исполнения нового контракта должен быть также сокращен с учетом частично выполненных обязательств.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  <w:outlineLvl w:val="0"/>
      </w:pPr>
      <w:r>
        <w:rPr>
          <w:b/>
        </w:rPr>
        <w:t>Какие особенности нужно учитывать при совместном конкурсе или аукционе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В </w:t>
      </w:r>
      <w:hyperlink r:id="rId19" w:history="1">
        <w:r>
          <w:rPr>
            <w:color w:val="0000FF"/>
          </w:rPr>
          <w:t>Законе N 44-ФЗ</w:t>
        </w:r>
      </w:hyperlink>
      <w:r>
        <w:t xml:space="preserve">, а также в </w:t>
      </w:r>
      <w:hyperlink r:id="rId20" w:history="1">
        <w:r>
          <w:rPr>
            <w:color w:val="0000FF"/>
          </w:rPr>
          <w:t>правилах</w:t>
        </w:r>
      </w:hyperlink>
      <w:r>
        <w:t xml:space="preserve"> проведения совместного конкурса или аукциона нет специальной нормы, которая бы позволяла уполномоченному органу (учреждению) сочетать функции организатора совместной закупки для иных заказчиков и полномочия заказчика при закупке для собственных нужд.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t xml:space="preserve">Минфин разъяснил: чтобы при проведении совместной закупки уполномоченный орган (учреждение) также смог провести закупку для собственных нужд, следует, например, в </w:t>
      </w:r>
      <w:hyperlink r:id="rId21" w:history="1">
        <w:r>
          <w:rPr>
            <w:color w:val="0000FF"/>
          </w:rPr>
          <w:t>решении</w:t>
        </w:r>
      </w:hyperlink>
      <w:r>
        <w:t xml:space="preserve"> о создании такого органа указать, что его закупки также "централизуются".</w:t>
      </w:r>
    </w:p>
    <w:p w:rsidR="00DA77B1" w:rsidRDefault="00DA77B1">
      <w:pPr>
        <w:pStyle w:val="ConsPlusNormal"/>
        <w:ind w:firstLine="540"/>
        <w:jc w:val="both"/>
      </w:pPr>
    </w:p>
    <w:p w:rsidR="00DA77B1" w:rsidRDefault="00DA77B1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2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23.03.2020 N 24-01-08/22598</w:t>
      </w:r>
    </w:p>
    <w:p w:rsidR="00DA77B1" w:rsidRDefault="00DA77B1">
      <w:pPr>
        <w:pStyle w:val="ConsPlusNormal"/>
        <w:spacing w:before="220"/>
        <w:ind w:firstLine="540"/>
        <w:jc w:val="both"/>
      </w:pPr>
      <w:hyperlink r:id="rId23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14.05.2020 N 24-03-07/39211</w:t>
      </w:r>
    </w:p>
    <w:p w:rsidR="00DA77B1" w:rsidRDefault="00DA77B1">
      <w:pPr>
        <w:pStyle w:val="ConsPlusNormal"/>
        <w:spacing w:before="220"/>
        <w:ind w:firstLine="540"/>
        <w:jc w:val="both"/>
      </w:pPr>
      <w:hyperlink r:id="rId24" w:history="1">
        <w:r>
          <w:rPr>
            <w:i/>
            <w:color w:val="0000FF"/>
          </w:rPr>
          <w:t>Письмо</w:t>
        </w:r>
      </w:hyperlink>
      <w:r>
        <w:rPr>
          <w:i/>
        </w:rPr>
        <w:t xml:space="preserve"> Минфина России от 15.04.2020 N 24-03-07/30236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rPr>
          <w:i/>
        </w:rPr>
        <w:t>Письмо Минфина России от 26.06.2020 N 24-06-08/55289</w:t>
      </w:r>
    </w:p>
    <w:p w:rsidR="00DA77B1" w:rsidRDefault="00DA77B1">
      <w:pPr>
        <w:pStyle w:val="ConsPlusNormal"/>
        <w:spacing w:before="220"/>
        <w:ind w:firstLine="540"/>
        <w:jc w:val="both"/>
      </w:pPr>
      <w:r>
        <w:rPr>
          <w:i/>
        </w:rPr>
        <w:t>https://www.minfin.ru/ru/document/?id_4=130636-pismo_minfina_rossii_ot_26.06.2020__24-06-0855289_o_provedenii_upolnomochennymi_organami_upolnomochennymi_uchrezhdeniyami_sovmestnykh_konkursov_i_auktsionov</w:t>
      </w:r>
    </w:p>
    <w:p w:rsidR="00DA77B1" w:rsidRDefault="00DA77B1">
      <w:pPr>
        <w:pStyle w:val="ConsPlusNormal"/>
        <w:jc w:val="both"/>
      </w:pPr>
    </w:p>
    <w:p w:rsidR="00DA77B1" w:rsidRDefault="00DA77B1">
      <w:pPr>
        <w:pStyle w:val="ConsPlusNormal"/>
        <w:jc w:val="both"/>
      </w:pPr>
    </w:p>
    <w:p w:rsidR="00DA77B1" w:rsidRDefault="00DA77B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85AE8" w:rsidRDefault="00785AE8">
      <w:bookmarkStart w:id="0" w:name="_GoBack"/>
      <w:bookmarkEnd w:id="0"/>
    </w:p>
    <w:sectPr w:rsidR="00785AE8" w:rsidSect="00A0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7B1"/>
    <w:rsid w:val="00785AE8"/>
    <w:rsid w:val="00DA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7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77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77B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497E8FEFF3A9D867B3A80DA694CFF7374C548E481EB22BB01DC7C9AECD573CA85BAE918BC214C7D755FBD8AD0C5A1CEE76FDFDD0FB29D336BEf9C8I" TargetMode="External"/><Relationship Id="rId13" Type="http://schemas.openxmlformats.org/officeDocument/2006/relationships/hyperlink" Target="consultantplus://offline/ref=21497E8FEFF3A9D867B3B519B4FCF5F16A4451854F12B075E71F969CA0C85F6CE04BE0D486C314C7DE5FAA82BD081349EA68F5E1CFFB37D3f3C6I" TargetMode="External"/><Relationship Id="rId18" Type="http://schemas.openxmlformats.org/officeDocument/2006/relationships/hyperlink" Target="consultantplus://offline/ref=21497E8FEFF3A9D867B3A80DA694CFF7374C548E481EB325B01DC7C9AECD573CA85BAE918BC214C7D755FCD8AD0C5A1CEE76FDFDD0FB29D336BEf9C8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1497E8FEFF3A9D867B3B519B4FCF5F16A4557834E13B075E71F969CA0C85F6CE04BE0D486C316CED65FAA82BD081349EA68F5E1CFFB37D3f3C6I" TargetMode="External"/><Relationship Id="rId7" Type="http://schemas.openxmlformats.org/officeDocument/2006/relationships/hyperlink" Target="consultantplus://offline/ref=21497E8FEFF3A9D867B3B519B4FCF5F16A42538F4E1DB075E71F969CA0C85F6CE04BE0D486C314C6D75FAA82BD081349EA68F5E1CFFB37D3f3C6I" TargetMode="External"/><Relationship Id="rId12" Type="http://schemas.openxmlformats.org/officeDocument/2006/relationships/hyperlink" Target="consultantplus://offline/ref=21497E8FEFF3A9D867B3B519B4FCF5F16A4451854F12B075E71F969CA0C85F6CE04BE0D486C840969301F3D3F0431F4BFD74F4E1fDC1I" TargetMode="External"/><Relationship Id="rId17" Type="http://schemas.openxmlformats.org/officeDocument/2006/relationships/hyperlink" Target="consultantplus://offline/ref=21497E8FEFF3A9D867B3B519B4FCF5F16A4557834E13B075E71F969CA0C85F6CE04BE0D485C117CC8305BA86F45D1757E274EAE1D1FBf3C7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1497E8FEFF3A9D867B3A80DA694CFF7374C548E481FB921B01DC7C9AECD573CA85BAE918BC214C7D755F8D8AD0C5A1CEE76FDFDD0FB29D336BEf9C8I" TargetMode="External"/><Relationship Id="rId20" Type="http://schemas.openxmlformats.org/officeDocument/2006/relationships/hyperlink" Target="consultantplus://offline/ref=21497E8FEFF3A9D867B3B519B4FCF5F16A4255834D12B075E71F969CA0C85F6CE04BE0D486C314C6D55FAA82BD081349EA68F5E1CFFB37D3f3C6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1497E8FEFF3A9D867B3B519B4FCF5F16A42538F4E1DB075E71F969CA0C85F6CE04BE0D486C314C7D35FAA82BD081349EA68F5E1CFFB37D3f3C6I" TargetMode="External"/><Relationship Id="rId11" Type="http://schemas.openxmlformats.org/officeDocument/2006/relationships/hyperlink" Target="consultantplus://offline/ref=21497E8FEFF3A9D867B3B519B4FCF5F16A4451854F12B075E71F969CA0C85F6CE04BE0D486C314C7D25FAA82BD081349EA68F5E1CFFB37D3f3C6I" TargetMode="External"/><Relationship Id="rId24" Type="http://schemas.openxmlformats.org/officeDocument/2006/relationships/hyperlink" Target="consultantplus://offline/ref=21497E8FEFF3A9D867B3A80DA694CFF7374C548E481EB325B01DC7C9AECD573CA85BAE918BC214C7D755FCD8AD0C5A1CEE76FDFDD0FB29D336BEf9C8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1497E8FEFF3A9D867B3A80DA694CFF7374C548E481FB921B01DC7C9AECD573CA85BAE918BC214C7D755F9D8AD0C5A1CEE76FDFDD0FB29D336BEf9C8I" TargetMode="External"/><Relationship Id="rId23" Type="http://schemas.openxmlformats.org/officeDocument/2006/relationships/hyperlink" Target="consultantplus://offline/ref=21497E8FEFF3A9D867B3A80DA694CFF7374C548E481FB921B01DC7C9AECD573CA85BAE918BC214C7D755FAD8AD0C5A1CEE76FDFDD0FB29D336BEf9C8I" TargetMode="External"/><Relationship Id="rId10" Type="http://schemas.openxmlformats.org/officeDocument/2006/relationships/hyperlink" Target="consultantplus://offline/ref=21497E8FEFF3A9D867B3B519B4FCF5F16A4557834E13B075E71F969CA0C85F6CE04BE0D482C512CC8305BA86F45D1757E274EAE1D1FBf3C7I" TargetMode="External"/><Relationship Id="rId19" Type="http://schemas.openxmlformats.org/officeDocument/2006/relationships/hyperlink" Target="consultantplus://offline/ref=21497E8FEFF3A9D867B3B519B4FCF5F16A4557834E13B075E71F969CA0C85F6CF24BB8D886CA0AC6D54AFCD3FBf5CD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1497E8FEFF3A9D867B3A80DA694CFF7374C548E481EB22BB01DC7C9AECD573CA85BAE918BC214C7D755F8D8AD0C5A1CEE76FDFDD0FB29D336BEf9C8I" TargetMode="External"/><Relationship Id="rId14" Type="http://schemas.openxmlformats.org/officeDocument/2006/relationships/hyperlink" Target="consultantplus://offline/ref=21497E8FEFF3A9D867B3A80DA694CFF7374C548E481FB921B01DC7C9AECD573CA85BAE918BC214C7D755FAD8AD0C5A1CEE76FDFDD0FB29D336BEf9C8I" TargetMode="External"/><Relationship Id="rId22" Type="http://schemas.openxmlformats.org/officeDocument/2006/relationships/hyperlink" Target="consultantplus://offline/ref=21497E8FEFF3A9D867B3A80DA694CFF7374C548E481EB22BB01DC7C9AECD573CA85BAE918BC214C7D755FBD8AD0C5A1CEE76FDFDD0FB29D336BEf9C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2020-12-09T08:02:00Z</dcterms:created>
  <dcterms:modified xsi:type="dcterms:W3CDTF">2020-12-09T08:02:00Z</dcterms:modified>
</cp:coreProperties>
</file>