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A9" w:rsidRDefault="00E378A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378A9" w:rsidRDefault="00E378A9">
      <w:pPr>
        <w:pStyle w:val="ConsPlusNormal"/>
        <w:jc w:val="both"/>
        <w:outlineLvl w:val="0"/>
      </w:pPr>
    </w:p>
    <w:p w:rsidR="00E378A9" w:rsidRDefault="00E378A9">
      <w:pPr>
        <w:pStyle w:val="ConsPlusTitle"/>
        <w:jc w:val="center"/>
      </w:pPr>
      <w:r>
        <w:t>МИНИСТЕРСТВО ФИНАНСОВ РОССИЙСКОЙ ФЕДЕРАЦИИ</w:t>
      </w:r>
    </w:p>
    <w:p w:rsidR="00E378A9" w:rsidRDefault="00E378A9">
      <w:pPr>
        <w:pStyle w:val="ConsPlusTitle"/>
        <w:jc w:val="both"/>
      </w:pPr>
    </w:p>
    <w:p w:rsidR="00E378A9" w:rsidRDefault="00E378A9">
      <w:pPr>
        <w:pStyle w:val="ConsPlusTitle"/>
        <w:jc w:val="center"/>
      </w:pPr>
      <w:r>
        <w:t>ПИСЬМО</w:t>
      </w:r>
    </w:p>
    <w:p w:rsidR="00E378A9" w:rsidRDefault="00E378A9">
      <w:pPr>
        <w:pStyle w:val="ConsPlusTitle"/>
        <w:jc w:val="center"/>
      </w:pPr>
      <w:r>
        <w:t>от 2 июля 2018 г. N 06-02-12/45544</w:t>
      </w:r>
    </w:p>
    <w:p w:rsidR="00E378A9" w:rsidRDefault="00E378A9">
      <w:pPr>
        <w:pStyle w:val="ConsPlusNormal"/>
        <w:jc w:val="both"/>
      </w:pPr>
    </w:p>
    <w:p w:rsidR="00E378A9" w:rsidRDefault="00E378A9">
      <w:pPr>
        <w:pStyle w:val="ConsPlusNormal"/>
        <w:ind w:firstLine="540"/>
        <w:jc w:val="both"/>
      </w:pPr>
      <w:r>
        <w:t xml:space="preserve">Министерство финансов Российской Федерации </w:t>
      </w:r>
      <w:proofErr w:type="gramStart"/>
      <w:r>
        <w:t>в соответствии с многочисленными обращениями субъектов Российской Федерации по вопросу проведения мониторинга за соблюдением субъектами Российской Федерации ставок по привлекаемым кредитам</w:t>
      </w:r>
      <w:proofErr w:type="gramEnd"/>
      <w:r>
        <w:t xml:space="preserve"> от кредитных организаций, иностранных банков и международных финансовых организаций сообщает следующее.</w:t>
      </w:r>
    </w:p>
    <w:p w:rsidR="00E378A9" w:rsidRDefault="00E378A9">
      <w:pPr>
        <w:pStyle w:val="ConsPlusNormal"/>
        <w:spacing w:before="220"/>
        <w:ind w:firstLine="540"/>
        <w:jc w:val="both"/>
      </w:pPr>
      <w:r>
        <w:t xml:space="preserve">1.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расчета начальной (максимальной) цены контракта с учетом ключевой ставки Центрального банка Российской Федерации.</w:t>
      </w:r>
    </w:p>
    <w:p w:rsidR="00E378A9" w:rsidRDefault="00E378A9">
      <w:pPr>
        <w:pStyle w:val="ConsPlusNormal"/>
        <w:spacing w:before="220"/>
        <w:ind w:firstLine="540"/>
        <w:jc w:val="both"/>
      </w:pPr>
      <w:r>
        <w:t xml:space="preserve">Начальная (максимальная) цена контракта (далее - НМЦК) определяется на основании положений </w:t>
      </w:r>
      <w:hyperlink r:id="rId7" w:history="1">
        <w:r>
          <w:rPr>
            <w:color w:val="0000FF"/>
          </w:rPr>
          <w:t>статьи 22</w:t>
        </w:r>
      </w:hyperlink>
      <w:r>
        <w:t xml:space="preserve"> Закона о контрактной системе.</w:t>
      </w:r>
    </w:p>
    <w:p w:rsidR="00E378A9" w:rsidRDefault="00E378A9">
      <w:pPr>
        <w:pStyle w:val="ConsPlusNormal"/>
        <w:spacing w:before="220"/>
        <w:ind w:firstLine="540"/>
        <w:jc w:val="both"/>
      </w:pPr>
      <w:r>
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исполнителем). При этом использование иных методов допускается в случаях, предусмотренных </w:t>
      </w:r>
      <w:hyperlink r:id="rId8" w:history="1">
        <w:r>
          <w:rPr>
            <w:color w:val="0000FF"/>
          </w:rPr>
          <w:t>частями 7</w:t>
        </w:r>
      </w:hyperlink>
      <w:r>
        <w:t xml:space="preserve"> - </w:t>
      </w:r>
      <w:hyperlink r:id="rId9" w:history="1">
        <w:r>
          <w:rPr>
            <w:color w:val="0000FF"/>
          </w:rPr>
          <w:t>11 статьи 22</w:t>
        </w:r>
      </w:hyperlink>
      <w:r>
        <w:t xml:space="preserve"> Закона о контрактной системе.</w:t>
      </w:r>
    </w:p>
    <w:p w:rsidR="00E378A9" w:rsidRDefault="00E378A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подпунктами 3.7.1</w:t>
        </w:r>
      </w:hyperlink>
      <w:r>
        <w:t xml:space="preserve"> - </w:t>
      </w:r>
      <w:hyperlink r:id="rId11" w:history="1">
        <w:r>
          <w:rPr>
            <w:color w:val="0000FF"/>
          </w:rPr>
          <w:t>3.7.3 пункта 3.7</w:t>
        </w:r>
      </w:hyperlink>
      <w:r>
        <w:t xml:space="preserve">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2 октября 2013 г. N 567, в целях получения ценовой информации в отношении товара, работы, услуги для определения НМЦК рекомендуется осуществить несколько следующих процедур:</w:t>
      </w:r>
      <w:proofErr w:type="gramEnd"/>
    </w:p>
    <w:p w:rsidR="00E378A9" w:rsidRDefault="00E378A9">
      <w:pPr>
        <w:pStyle w:val="ConsPlusNormal"/>
        <w:spacing w:before="220"/>
        <w:ind w:firstLine="540"/>
        <w:jc w:val="both"/>
      </w:pPr>
      <w:r>
        <w:t>- направить запросы о предоставлении ценовой информации не менее пяти 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"Интернет");</w:t>
      </w:r>
    </w:p>
    <w:p w:rsidR="00E378A9" w:rsidRDefault="00E378A9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разместить запрос</w:t>
      </w:r>
      <w:proofErr w:type="gramEnd"/>
      <w:r>
        <w:t xml:space="preserve"> о предоставлении ценовой информации в единой информационной системе в сфере закупок товаров, работ, услуг для обеспечения государственных или муниципальных нужд;</w:t>
      </w:r>
    </w:p>
    <w:p w:rsidR="00E378A9" w:rsidRDefault="00E378A9">
      <w:pPr>
        <w:pStyle w:val="ConsPlusNormal"/>
        <w:spacing w:before="220"/>
        <w:ind w:firstLine="540"/>
        <w:jc w:val="both"/>
      </w:pPr>
      <w:r>
        <w:t>- осуществить поиск ценовой информации в реестре контрактов, заключенных заказчиками, при этом целесообразно принимать в расчет информацию о ценах товаров, работ, услуг, содержащуюся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контрактами, в течение последних трех лет;</w:t>
      </w:r>
    </w:p>
    <w:p w:rsidR="00E378A9" w:rsidRDefault="00E378A9">
      <w:pPr>
        <w:pStyle w:val="ConsPlusNormal"/>
        <w:spacing w:before="220"/>
        <w:ind w:firstLine="540"/>
        <w:jc w:val="both"/>
      </w:pPr>
      <w:r>
        <w:t>- осуществить сбор и анализ общедоступной ценовой информации.</w:t>
      </w:r>
    </w:p>
    <w:p w:rsidR="00E378A9" w:rsidRDefault="00E378A9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2" w:history="1">
        <w:r>
          <w:rPr>
            <w:color w:val="0000FF"/>
          </w:rPr>
          <w:t>частью 12 статьи 22</w:t>
        </w:r>
      </w:hyperlink>
      <w:r>
        <w:t xml:space="preserve"> Закона о контрактной системе установлено, что в случае невозможности применения для определения НМЦК методов, указанных в </w:t>
      </w:r>
      <w:hyperlink r:id="rId13" w:history="1">
        <w:r>
          <w:rPr>
            <w:color w:val="0000FF"/>
          </w:rPr>
          <w:t>части 1</w:t>
        </w:r>
      </w:hyperlink>
      <w:r>
        <w:t xml:space="preserve"> указанной статьи, заказчик вправе применить иные методы. В этом случае в обоснование НМЦК, цены </w:t>
      </w:r>
      <w:r>
        <w:lastRenderedPageBreak/>
        <w:t>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</w:t>
      </w:r>
    </w:p>
    <w:p w:rsidR="00E378A9" w:rsidRDefault="00E378A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частью 2 статьи 34</w:t>
        </w:r>
      </w:hyperlink>
      <w:r>
        <w:t xml:space="preserve"> Закона о контрактной системе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  <w:proofErr w:type="gramEnd"/>
      <w:r>
        <w:t xml:space="preserve"> При заключении и исполнении контракта изменение его условий не допускается, за исключением случаев, предусмотренных указанной </w:t>
      </w:r>
      <w:hyperlink r:id="rId15" w:history="1">
        <w:r>
          <w:rPr>
            <w:color w:val="0000FF"/>
          </w:rPr>
          <w:t>статьей</w:t>
        </w:r>
      </w:hyperlink>
      <w:r>
        <w:t xml:space="preserve"> и </w:t>
      </w:r>
      <w:hyperlink r:id="rId16" w:history="1">
        <w:r>
          <w:rPr>
            <w:color w:val="0000FF"/>
          </w:rPr>
          <w:t>статьей 95</w:t>
        </w:r>
      </w:hyperlink>
      <w:r>
        <w:t xml:space="preserve"> Закона о контрактной системе.</w:t>
      </w:r>
    </w:p>
    <w:p w:rsidR="00E378A9" w:rsidRDefault="00E378A9">
      <w:pPr>
        <w:pStyle w:val="ConsPlusNormal"/>
        <w:spacing w:before="220"/>
        <w:ind w:firstLine="540"/>
        <w:jc w:val="both"/>
      </w:pPr>
      <w:proofErr w:type="gramStart"/>
      <w:r>
        <w:t xml:space="preserve">Так, положениями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установлено, что при заключении контракта в документации о закупке указываются формула цены и максимальное значение цены контракта в случае заключения контракта на оказание услуг по предоставлению кредита</w:t>
      </w:r>
      <w:proofErr w:type="gramEnd"/>
      <w:r>
        <w:t xml:space="preserve"> субъектам Российской Федерации и (или) муниципальным образованиям при условии установления в контракте процентной ставки, рассчитываемой как сумма ключевой ставки Центрального банка Российской Федерации и надбавки, определяемой указанным контрактом.</w:t>
      </w:r>
    </w:p>
    <w:p w:rsidR="00E378A9" w:rsidRDefault="00E378A9">
      <w:pPr>
        <w:pStyle w:val="ConsPlusNormal"/>
        <w:spacing w:before="220"/>
        <w:ind w:firstLine="540"/>
        <w:jc w:val="both"/>
      </w:pPr>
      <w:r>
        <w:t>2. О возможности привлечения в бюджет субъекта Российской Федерации кредитов от кредитных организаций, иностранных банков и международных финансовых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 процент годовых.</w:t>
      </w:r>
    </w:p>
    <w:p w:rsidR="00E378A9" w:rsidRDefault="00E378A9">
      <w:pPr>
        <w:pStyle w:val="ConsPlusNormal"/>
        <w:spacing w:before="220"/>
        <w:ind w:firstLine="540"/>
        <w:jc w:val="both"/>
      </w:pPr>
      <w:r>
        <w:t>Ограничение по привлечению коммерческих заимствований по ставкам на уровне не более чем уровень ключевой ставки, установленный Центральным банком Российской Федерации, увеличенный на 1 процент годовых, должно быть обеспечено субъектом Российской Федерации с момента заключения дополнительного соглашения, по вновь заключаемым кредитным договорам (соглашениям).</w:t>
      </w:r>
    </w:p>
    <w:p w:rsidR="00E378A9" w:rsidRDefault="00E378A9">
      <w:pPr>
        <w:pStyle w:val="ConsPlusNormal"/>
        <w:spacing w:before="220"/>
        <w:ind w:firstLine="540"/>
        <w:jc w:val="both"/>
      </w:pPr>
      <w:r>
        <w:t>Мониторинг привлечения в бюджет субъекта Российской Федерации кредитов от кредитных организаций, иностранных банков и международных финансовых организаций по ставкам на уровне не более чем уровень ключевой ставки, установленный Центральным банком Российской Федерации, увеличенный на 1 процент годовых, проводится на основании данных долговых книг субъектов Российской Федерации.</w:t>
      </w:r>
    </w:p>
    <w:p w:rsidR="00E378A9" w:rsidRDefault="00E378A9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учитывается временной интервал, необходимый для заключения субъектом Российской Федерации контрактов о получении коммерческих кредитов в соответствии с </w:t>
      </w:r>
      <w:hyperlink r:id="rId18" w:history="1">
        <w:r>
          <w:rPr>
            <w:color w:val="0000FF"/>
          </w:rPr>
          <w:t>Законом</w:t>
        </w:r>
      </w:hyperlink>
      <w:r>
        <w:t xml:space="preserve"> о контрактной системе, а также действующая ключевая ставка, установленная Центральным банком Российской Федерации на момент размещения субъектом Российской Федерации в единой информационной системе извещения о проведении электронного аукциона и непосредственно на момент заключения контракта.</w:t>
      </w:r>
      <w:proofErr w:type="gramEnd"/>
    </w:p>
    <w:p w:rsidR="00E378A9" w:rsidRDefault="00E378A9">
      <w:pPr>
        <w:pStyle w:val="ConsPlusNormal"/>
        <w:spacing w:before="220"/>
        <w:ind w:firstLine="540"/>
        <w:jc w:val="both"/>
      </w:pPr>
      <w:r>
        <w:t xml:space="preserve">При этом при размещении информации о проведении электронного аукциона считаем целесообразным учитывать НМЦК не более действующей ключевой ставки, установленной Центральным банком Российской Федерации, увеличенной на 1 процент </w:t>
      </w:r>
      <w:proofErr w:type="gramStart"/>
      <w:r>
        <w:t>годовых</w:t>
      </w:r>
      <w:proofErr w:type="gramEnd"/>
      <w:r>
        <w:t>.</w:t>
      </w:r>
    </w:p>
    <w:p w:rsidR="00E378A9" w:rsidRDefault="00E378A9">
      <w:pPr>
        <w:pStyle w:val="ConsPlusNormal"/>
        <w:spacing w:before="220"/>
        <w:ind w:firstLine="540"/>
        <w:jc w:val="both"/>
      </w:pPr>
      <w:proofErr w:type="gramStart"/>
      <w:r>
        <w:t>Также отмечаем, что в случае снижения ключевой ставки, установленной Центральным банком Российской Федерации, Министерство финансов Российской Федерации рекомендует обеспечить субъекту Российской Федерации работу по пересмотру условий заключенных ранее государственных контрактов с кредитными организациями в целях снижения процентных ставок по привлеченным кредитам.</w:t>
      </w:r>
      <w:proofErr w:type="gramEnd"/>
    </w:p>
    <w:p w:rsidR="00E378A9" w:rsidRDefault="00E378A9">
      <w:pPr>
        <w:pStyle w:val="ConsPlusNormal"/>
        <w:jc w:val="both"/>
      </w:pPr>
    </w:p>
    <w:p w:rsidR="00E378A9" w:rsidRDefault="00E378A9">
      <w:pPr>
        <w:pStyle w:val="ConsPlusNormal"/>
        <w:jc w:val="right"/>
      </w:pPr>
      <w:r>
        <w:t>Л.В.ГОРНИН</w:t>
      </w:r>
    </w:p>
    <w:p w:rsidR="00E378A9" w:rsidRDefault="00E378A9">
      <w:pPr>
        <w:pStyle w:val="ConsPlusNormal"/>
        <w:jc w:val="both"/>
      </w:pPr>
    </w:p>
    <w:p w:rsidR="00E378A9" w:rsidRDefault="00E378A9">
      <w:pPr>
        <w:pStyle w:val="ConsPlusNormal"/>
        <w:jc w:val="both"/>
      </w:pPr>
    </w:p>
    <w:p w:rsidR="00E378A9" w:rsidRDefault="00E378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1778" w:rsidRDefault="00B91778">
      <w:bookmarkStart w:id="0" w:name="_GoBack"/>
      <w:bookmarkEnd w:id="0"/>
    </w:p>
    <w:sectPr w:rsidR="00B91778" w:rsidSect="0022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A9"/>
    <w:rsid w:val="00B91778"/>
    <w:rsid w:val="00E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78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8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78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E6DCBA9773B484A715CAFF8DBF8D45D99BD6A1C97EE977BE131D2430A6520B52F23D9633B2CB47C9FF07F276ACE90737C19E48ADECD456r9H7I" TargetMode="External"/><Relationship Id="rId13" Type="http://schemas.openxmlformats.org/officeDocument/2006/relationships/hyperlink" Target="consultantplus://offline/ref=F1E6DCBA9773B484A715CAFF8DBF8D45D99BD6A1C97EE977BE131D2430A6520B52F23D9633B2CB45C0FF07F276ACE90737C19E48ADECD456r9H7I" TargetMode="External"/><Relationship Id="rId18" Type="http://schemas.openxmlformats.org/officeDocument/2006/relationships/hyperlink" Target="consultantplus://offline/ref=F1E6DCBA9773B484A715CAFF8DBF8D45D99BD6A1C97EE977BE131D2430A6520B40F2659A32BBD744CDEA51A333rFH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E6DCBA9773B484A715CAFF8DBF8D45D99BD6A1C97EE977BE131D2430A6520B52F23D9633B2CB45C1FF07F276ACE90737C19E48ADECD456r9H7I" TargetMode="External"/><Relationship Id="rId12" Type="http://schemas.openxmlformats.org/officeDocument/2006/relationships/hyperlink" Target="consultantplus://offline/ref=F1E6DCBA9773B484A715CAFF8DBF8D45D99BD6A1C97EE977BE131D2430A6520B52F23D9633B2CB47CEFF07F276ACE90737C19E48ADECD456r9H7I" TargetMode="External"/><Relationship Id="rId17" Type="http://schemas.openxmlformats.org/officeDocument/2006/relationships/hyperlink" Target="consultantplus://offline/ref=F1E6DCBA9773B484A715CAFF8DBF8D45D893D7ABC970E977BE131D2430A6520B40F2659A32BBD744CDEA51A333rFH0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E6DCBA9773B484A715CAFF8DBF8D45D99BD6A1C97EE977BE131D2430A6520B52F23D9633B3CA44C0FF07F276ACE90737C19E48ADECD456r9H7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E6DCBA9773B484A715CAFF8DBF8D45D99BD6A1C97EE977BE131D2430A6520B40F2659A32BBD744CDEA51A333rFH0I" TargetMode="External"/><Relationship Id="rId11" Type="http://schemas.openxmlformats.org/officeDocument/2006/relationships/hyperlink" Target="consultantplus://offline/ref=F1E6DCBA9773B484A715CAFF8DBF8D45DB9FD0A0CB7FE977BE131D2430A6520B52F23D9633B2C941CBFF07F276ACE90737C19E48ADECD456r9H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1E6DCBA9773B484A715CAFF8DBF8D45D99BD6A1C97EE977BE131D2430A6520B52F23D9633B2CD44C9FF07F276ACE90737C19E48ADECD456r9H7I" TargetMode="External"/><Relationship Id="rId10" Type="http://schemas.openxmlformats.org/officeDocument/2006/relationships/hyperlink" Target="consultantplus://offline/ref=F1E6DCBA9773B484A715CAFF8DBF8D45DB9FD0A0CB7FE977BE131D2430A6520B52F23D9633B2C941C9FF07F276ACE90737C19E48ADECD456r9H7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E6DCBA9773B484A715CAFF8DBF8D45D99BD6A1C97EE977BE131D2430A6520B52F23D9633B2CB47CFFF07F276ACE90737C19E48ADECD456r9H7I" TargetMode="External"/><Relationship Id="rId14" Type="http://schemas.openxmlformats.org/officeDocument/2006/relationships/hyperlink" Target="consultantplus://offline/ref=F1E6DCBA9773B484A715CAFF8DBF8D45D99BD6A1C97EE977BE131D2430A6520B52F23D9633B2CD44CBFF07F276ACE90737C19E48ADECD456r9H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2019-04-19T08:07:00Z</dcterms:created>
  <dcterms:modified xsi:type="dcterms:W3CDTF">2019-04-19T08:08:00Z</dcterms:modified>
</cp:coreProperties>
</file>