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CA" w:rsidRPr="00FA09CA" w:rsidRDefault="00FA09CA" w:rsidP="00FA09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A09CA">
        <w:rPr>
          <w:rFonts w:ascii="Times New Roman" w:hAnsi="Times New Roman"/>
          <w:b/>
          <w:sz w:val="25"/>
          <w:szCs w:val="25"/>
        </w:rPr>
        <w:t>Внешняя проверка отчета об исполнении городского бюджета</w:t>
      </w:r>
      <w:r w:rsidRPr="00FA09CA">
        <w:rPr>
          <w:rFonts w:ascii="Times New Roman" w:hAnsi="Times New Roman" w:cs="Times New Roman"/>
          <w:b/>
          <w:sz w:val="25"/>
          <w:szCs w:val="25"/>
        </w:rPr>
        <w:t xml:space="preserve"> за 2022 год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A09CA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FA09CA">
        <w:rPr>
          <w:rFonts w:ascii="Times New Roman" w:hAnsi="Times New Roman" w:cs="Times New Roman"/>
          <w:sz w:val="25"/>
          <w:szCs w:val="25"/>
        </w:rPr>
        <w:t xml:space="preserve"> с действующим законодательством на отчет об исполнении городского бюджета за 2022 год, представленный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Администрацией городского округа «Город Архангельск», проведена внешняя проверка.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A09CA">
        <w:rPr>
          <w:rFonts w:ascii="Times New Roman" w:hAnsi="Times New Roman" w:cs="Times New Roman"/>
          <w:sz w:val="25"/>
          <w:szCs w:val="25"/>
        </w:rPr>
        <w:t xml:space="preserve">В отчетном периоде первоначально утвержденные параметры городского бюджета уточнены решениями Архангельской городской Думы от 09.02.2022 № 510, от 16.03.2022 № 519, от 27.04.2022 № 531, от 25.05.2022 № 547, от 22.06.2022 № 559, от 26.10.2022 </w:t>
      </w:r>
      <w:r w:rsidR="002C5966" w:rsidRPr="002C5966">
        <w:rPr>
          <w:rFonts w:ascii="Times New Roman" w:hAnsi="Times New Roman" w:cs="Times New Roman"/>
          <w:sz w:val="25"/>
          <w:szCs w:val="25"/>
        </w:rPr>
        <w:t xml:space="preserve">        </w:t>
      </w:r>
      <w:bookmarkStart w:id="0" w:name="_GoBack"/>
      <w:bookmarkEnd w:id="0"/>
      <w:r w:rsidRPr="00FA09CA">
        <w:rPr>
          <w:rFonts w:ascii="Times New Roman" w:hAnsi="Times New Roman" w:cs="Times New Roman"/>
          <w:sz w:val="25"/>
          <w:szCs w:val="25"/>
        </w:rPr>
        <w:t>№ 586, от 30.11.2022 № 595 и от 15.12.2022 № 618 о внесении изменений в решение Архангельской городской Думы от 16.12.2021 № 494 «О городском бюджете на 2022 год и на плановый период 2023</w:t>
      </w:r>
      <w:proofErr w:type="gramEnd"/>
      <w:r w:rsidRPr="00FA09CA">
        <w:rPr>
          <w:rFonts w:ascii="Times New Roman" w:hAnsi="Times New Roman" w:cs="Times New Roman"/>
          <w:sz w:val="25"/>
          <w:szCs w:val="25"/>
        </w:rPr>
        <w:t xml:space="preserve"> и 2024 годов» и решениями руководителя финансового органа о внесении изменений в уточненную сводную бюджетную роспись без внесения изменений в решение о бюджете на основании ст.217 Бюджетного кодекса РФ. В результате по состоянию на 01.01.2023 уточненные годовые плановые параметры бюджета составили: по доходам – </w:t>
      </w:r>
      <w:r w:rsidRPr="00FA09CA">
        <w:rPr>
          <w:rFonts w:ascii="Times New Roman" w:hAnsi="Times New Roman" w:cs="Times New Roman"/>
          <w:color w:val="000000"/>
          <w:sz w:val="25"/>
          <w:szCs w:val="25"/>
        </w:rPr>
        <w:t xml:space="preserve">14 544 133,7 </w:t>
      </w:r>
      <w:r w:rsidRPr="00FA09CA">
        <w:rPr>
          <w:rFonts w:ascii="Times New Roman" w:hAnsi="Times New Roman" w:cs="Times New Roman"/>
          <w:sz w:val="25"/>
          <w:szCs w:val="25"/>
        </w:rPr>
        <w:t xml:space="preserve">тыс. руб., по расходам – </w:t>
      </w:r>
      <w:r w:rsidRPr="00FA09CA">
        <w:rPr>
          <w:rFonts w:ascii="Times New Roman" w:hAnsi="Times New Roman" w:cs="Times New Roman"/>
          <w:color w:val="000000"/>
          <w:sz w:val="25"/>
          <w:szCs w:val="25"/>
        </w:rPr>
        <w:t xml:space="preserve">15 480 859,6 </w:t>
      </w:r>
      <w:r w:rsidRPr="00FA09CA">
        <w:rPr>
          <w:rFonts w:ascii="Times New Roman" w:hAnsi="Times New Roman" w:cs="Times New Roman"/>
          <w:sz w:val="25"/>
          <w:szCs w:val="25"/>
        </w:rPr>
        <w:t xml:space="preserve">тыс. руб., дефицит – </w:t>
      </w:r>
      <w:r w:rsidRPr="00FA09CA">
        <w:rPr>
          <w:rFonts w:ascii="Times New Roman" w:hAnsi="Times New Roman" w:cs="Times New Roman"/>
          <w:color w:val="000000"/>
          <w:sz w:val="25"/>
          <w:szCs w:val="25"/>
        </w:rPr>
        <w:t>936 725,9</w:t>
      </w:r>
      <w:r w:rsidRPr="00FA09CA">
        <w:rPr>
          <w:rFonts w:ascii="Times New Roman" w:hAnsi="Times New Roman" w:cs="Times New Roman"/>
          <w:sz w:val="25"/>
          <w:szCs w:val="25"/>
        </w:rPr>
        <w:t xml:space="preserve"> тыс. руб. 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A09CA">
        <w:rPr>
          <w:rFonts w:ascii="Times New Roman" w:hAnsi="Times New Roman" w:cs="Times New Roman"/>
          <w:sz w:val="25"/>
          <w:szCs w:val="25"/>
        </w:rPr>
        <w:t>Увеличение прогноза доходов в основном связано с получением субсидий, субвенций и иных межбюджетных трансфертов из областного бюджета и безвозмездных поступлений от физических и юридических лиц, имеющих целевое назначение, сверх утвержденных объемов.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FA09CA">
        <w:rPr>
          <w:color w:val="212121"/>
          <w:sz w:val="25"/>
          <w:szCs w:val="25"/>
        </w:rPr>
        <w:t xml:space="preserve">За 2022 год поступление доходов составило </w:t>
      </w:r>
      <w:r w:rsidRPr="00FA09CA">
        <w:rPr>
          <w:bCs/>
          <w:color w:val="000000"/>
          <w:sz w:val="25"/>
          <w:szCs w:val="25"/>
        </w:rPr>
        <w:t xml:space="preserve">15 151 794,6 </w:t>
      </w:r>
      <w:r w:rsidRPr="00FA09CA">
        <w:rPr>
          <w:color w:val="212121"/>
          <w:sz w:val="25"/>
          <w:szCs w:val="25"/>
        </w:rPr>
        <w:t xml:space="preserve">тыс. руб. По сравнению с аналогичным периодом 2021 года поступления налоговых и неналоговых доходов выросли на </w:t>
      </w:r>
      <w:r w:rsidRPr="00FA09CA">
        <w:rPr>
          <w:noProof/>
          <w:sz w:val="25"/>
          <w:szCs w:val="25"/>
        </w:rPr>
        <w:t xml:space="preserve">409 872,6 </w:t>
      </w:r>
      <w:r w:rsidRPr="00FA09CA">
        <w:rPr>
          <w:color w:val="212121"/>
          <w:sz w:val="25"/>
          <w:szCs w:val="25"/>
        </w:rPr>
        <w:t>тыс. руб. (7,0%) в основном за счет увеличения собираемости налога на доходы физических лиц, налога, взимаемого в связи с применением упрощенной системы налогообложения и сельскохозяйственного налога.</w:t>
      </w:r>
      <w:proofErr w:type="gramEnd"/>
      <w:r w:rsidRPr="00FA09CA">
        <w:rPr>
          <w:color w:val="212121"/>
          <w:sz w:val="25"/>
          <w:szCs w:val="25"/>
        </w:rPr>
        <w:t xml:space="preserve"> Безвозмездные поступления выросли </w:t>
      </w:r>
      <w:r w:rsidRPr="00FA09CA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FA09CA">
        <w:rPr>
          <w:color w:val="212121"/>
          <w:sz w:val="25"/>
          <w:szCs w:val="25"/>
        </w:rPr>
        <w:t xml:space="preserve">на </w:t>
      </w:r>
      <w:r w:rsidRPr="00FA09CA">
        <w:rPr>
          <w:rFonts w:eastAsia="SimSun"/>
          <w:sz w:val="25"/>
          <w:szCs w:val="25"/>
          <w:lang w:eastAsia="ar-SA"/>
        </w:rPr>
        <w:t xml:space="preserve">1 430 709,4 тыс. руб. (на 19,2%) в основном за счет увеличения субвенций </w:t>
      </w:r>
      <w:r w:rsidRPr="00FA09CA">
        <w:rPr>
          <w:color w:val="212121"/>
          <w:sz w:val="25"/>
          <w:szCs w:val="25"/>
        </w:rPr>
        <w:t>бюджетам бюджетной системы Российской Федерации.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FA09CA">
        <w:rPr>
          <w:color w:val="212121"/>
          <w:sz w:val="25"/>
          <w:szCs w:val="25"/>
        </w:rPr>
        <w:t>Основная доля в составе доходов (37,7%) приходится на субвенции бюджетам бюджетной системы Российской Федерации и на налог на доходы физических лиц (29,0%).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FA09CA">
        <w:rPr>
          <w:color w:val="212121"/>
          <w:sz w:val="25"/>
          <w:szCs w:val="25"/>
        </w:rPr>
        <w:t xml:space="preserve">Исполнение плановых назначений по расходам увеличилось по сравнению с аналогичным периодом 2021 года на </w:t>
      </w:r>
      <w:r w:rsidRPr="00FA09CA">
        <w:rPr>
          <w:color w:val="000000"/>
          <w:sz w:val="25"/>
          <w:szCs w:val="25"/>
        </w:rPr>
        <w:t xml:space="preserve">1 589 973,7 </w:t>
      </w:r>
      <w:r w:rsidRPr="00FA09CA">
        <w:rPr>
          <w:color w:val="212121"/>
          <w:sz w:val="25"/>
          <w:szCs w:val="25"/>
        </w:rPr>
        <w:t>тыс. руб. (на 11,9%) и составило 14 907 188,7 тыс. руб. Основная доля расходов приходится на раздел 07 «Образование» (50,6%).</w:t>
      </w:r>
    </w:p>
    <w:p w:rsidR="00FA09CA" w:rsidRPr="00FA09CA" w:rsidRDefault="00FA09CA" w:rsidP="00FA09C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FA09C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FA09C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программ за 2022 год составило </w:t>
      </w:r>
      <w:r w:rsidRPr="00FA09CA">
        <w:rPr>
          <w:rFonts w:ascii="Times New Roman" w:hAnsi="Times New Roman" w:cs="Times New Roman"/>
          <w:bCs/>
          <w:color w:val="000000"/>
          <w:sz w:val="25"/>
          <w:szCs w:val="25"/>
        </w:rPr>
        <w:t>14 706 664,9</w:t>
      </w:r>
      <w:r w:rsidRPr="00FA09CA">
        <w:rPr>
          <w:b/>
          <w:bCs/>
          <w:color w:val="000000"/>
          <w:sz w:val="25"/>
          <w:szCs w:val="25"/>
        </w:rPr>
        <w:t xml:space="preserve"> 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>тыс. руб. или 96,5% уточненной сводной бюджетной росписи. При этом основная доля (57,6%) приходится на реализацию МП «Развитие социальной сферы городского округа «Город Архангельск».</w:t>
      </w:r>
    </w:p>
    <w:p w:rsidR="00FA09CA" w:rsidRPr="00FA09CA" w:rsidRDefault="00FA09CA" w:rsidP="00FA0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09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2022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на реализацию национальных/федеральных проектов составило </w:t>
      </w:r>
      <w:r w:rsidRPr="00FA09CA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2 043 648,4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 или 95,4% от показателей уточненной сводной бюджетной росписи. Основная доля расходов приходится на </w:t>
      </w:r>
      <w:r w:rsidRPr="00FA09CA">
        <w:rPr>
          <w:rFonts w:ascii="Times New Roman" w:hAnsi="Times New Roman" w:cs="Times New Roman"/>
          <w:bCs/>
          <w:color w:val="000000"/>
          <w:sz w:val="25"/>
          <w:szCs w:val="25"/>
        </w:rPr>
        <w:t>реализацию национальных проектов «Жилье и городская среда» (76,1%) и «Безопасные и качественные автомобильные дороги» (21,6%).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FA09CA">
        <w:rPr>
          <w:color w:val="212121"/>
          <w:sz w:val="25"/>
          <w:szCs w:val="25"/>
        </w:rPr>
        <w:t xml:space="preserve">За 2022 год </w:t>
      </w:r>
      <w:r w:rsidRPr="00FA09CA">
        <w:rPr>
          <w:rFonts w:eastAsia="SimSun"/>
          <w:sz w:val="25"/>
          <w:szCs w:val="25"/>
          <w:lang w:eastAsia="ar-SA"/>
        </w:rPr>
        <w:t xml:space="preserve">на капитальные вложения в объекты муниципальной собственности </w:t>
      </w:r>
      <w:r w:rsidRPr="00FA09CA">
        <w:rPr>
          <w:color w:val="212121"/>
          <w:sz w:val="25"/>
          <w:szCs w:val="25"/>
        </w:rPr>
        <w:t>осуществлены расходы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 в сумме </w:t>
      </w:r>
      <w:r w:rsidRPr="00FA09CA">
        <w:rPr>
          <w:bCs/>
          <w:sz w:val="25"/>
          <w:szCs w:val="25"/>
        </w:rPr>
        <w:t>486 503,9</w:t>
      </w:r>
      <w:r w:rsidRPr="00FA09CA">
        <w:rPr>
          <w:b/>
          <w:bCs/>
          <w:sz w:val="25"/>
          <w:szCs w:val="25"/>
        </w:rPr>
        <w:t xml:space="preserve"> 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тыс. руб. (96,9% от уточненной сводной бюджетной росписи), в </w:t>
      </w:r>
      <w:proofErr w:type="spellStart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>т.ч</w:t>
      </w:r>
      <w:proofErr w:type="spellEnd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. на строительство школы на 860 мест в территориальном округе </w:t>
      </w:r>
      <w:proofErr w:type="spellStart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>Варавино</w:t>
      </w:r>
      <w:proofErr w:type="spellEnd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-Фактория, </w:t>
      </w:r>
      <w:r w:rsidRPr="00FA09CA">
        <w:rPr>
          <w:sz w:val="25"/>
          <w:szCs w:val="25"/>
        </w:rPr>
        <w:t xml:space="preserve">проезда к данной школе и к зданию детского сада на 280 мест в округе </w:t>
      </w:r>
      <w:proofErr w:type="spellStart"/>
      <w:r w:rsidRPr="00FA09CA">
        <w:rPr>
          <w:sz w:val="25"/>
          <w:szCs w:val="25"/>
        </w:rPr>
        <w:t>Варавино</w:t>
      </w:r>
      <w:proofErr w:type="spellEnd"/>
      <w:r w:rsidRPr="00FA09CA">
        <w:rPr>
          <w:sz w:val="25"/>
          <w:szCs w:val="25"/>
        </w:rPr>
        <w:t xml:space="preserve">-Фактория, 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кладбища в деревне </w:t>
      </w:r>
      <w:proofErr w:type="spellStart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>Валдушки</w:t>
      </w:r>
      <w:proofErr w:type="spellEnd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, дренажно-ливневой 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lastRenderedPageBreak/>
        <w:t>канализации по пр</w:t>
      </w:r>
      <w:proofErr w:type="gramEnd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. Никольскому и воздушных линий электропередачи наружного освещения (15 участков), </w:t>
      </w:r>
      <w:r w:rsidRPr="00FA09CA">
        <w:rPr>
          <w:sz w:val="25"/>
          <w:szCs w:val="25"/>
        </w:rPr>
        <w:t>проектирование и строительство автомобильных дорог по просп. Московскому и по ул. Ленина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, реконструкцию </w:t>
      </w:r>
      <w:r w:rsidRPr="00FA09CA">
        <w:rPr>
          <w:sz w:val="25"/>
          <w:szCs w:val="25"/>
        </w:rPr>
        <w:t xml:space="preserve">пл. Профсоюзов и </w:t>
      </w:r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здания </w:t>
      </w:r>
      <w:proofErr w:type="gramStart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>теплицы-учебного</w:t>
      </w:r>
      <w:proofErr w:type="gramEnd"/>
      <w:r w:rsidRPr="00FA09CA">
        <w:rPr>
          <w:rFonts w:eastAsia="SimSun"/>
          <w:sz w:val="25"/>
          <w:szCs w:val="25"/>
          <w:shd w:val="clear" w:color="auto" w:fill="FFFFFF"/>
          <w:lang w:eastAsia="ar-SA"/>
        </w:rPr>
        <w:t xml:space="preserve"> класса МБОУ СШ № 10.</w:t>
      </w:r>
    </w:p>
    <w:p w:rsidR="00FA09CA" w:rsidRPr="00FA09CA" w:rsidRDefault="00FA09CA" w:rsidP="00FA09CA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За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2022 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>год кассовое исполнение на дорожное хозяйство (дорожные фонды) составило 1 412 162,4</w:t>
      </w:r>
      <w:r w:rsidRPr="00FA09CA">
        <w:rPr>
          <w:rFonts w:eastAsia="SimSun"/>
          <w:sz w:val="25"/>
          <w:szCs w:val="25"/>
          <w:lang w:eastAsia="ar-SA"/>
        </w:rPr>
        <w:t xml:space="preserve"> 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тыс. руб., что больше </w:t>
      </w:r>
      <w:r w:rsidRPr="00FA09CA">
        <w:rPr>
          <w:rFonts w:ascii="Times New Roman" w:eastAsia="Calibri" w:hAnsi="Times New Roman" w:cs="Times New Roman"/>
          <w:sz w:val="25"/>
          <w:szCs w:val="25"/>
        </w:rPr>
        <w:t>196 388,0</w:t>
      </w:r>
      <w:r w:rsidRPr="00FA09CA">
        <w:rPr>
          <w:rFonts w:eastAsia="Calibri"/>
          <w:sz w:val="25"/>
          <w:szCs w:val="25"/>
        </w:rPr>
        <w:t xml:space="preserve"> </w:t>
      </w:r>
      <w:r w:rsidRPr="00FA09CA">
        <w:rPr>
          <w:rFonts w:ascii="Times New Roman" w:eastAsia="SimSun" w:hAnsi="Times New Roman" w:cs="Times New Roman"/>
          <w:sz w:val="25"/>
          <w:szCs w:val="25"/>
          <w:lang w:eastAsia="ar-SA"/>
        </w:rPr>
        <w:t>тыс. руб. или на 16,2% по сравнению с аналогичным периодом прошлого года.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FA09CA">
        <w:rPr>
          <w:color w:val="212121"/>
          <w:sz w:val="25"/>
          <w:szCs w:val="25"/>
        </w:rPr>
        <w:t xml:space="preserve">Объем муниципальных заимствований за 2022 год составил 2 022 561,0 тыс. руб. (бюджетный и банковский кредиты), что в 2,7 раза больше, чем в 2020 году и 2021 годах. Муниципальный долг городского округа по сравнению с уровнем на начало года уменьшился на 5 000,0 тыс. руб. или на 0,3% и на 01.01.2023 года составил 1 464 000,0 тыс. руб. (кредит кредитных организаций). </w:t>
      </w:r>
    </w:p>
    <w:p w:rsidR="00FA09CA" w:rsidRPr="00FA09CA" w:rsidRDefault="00FA09CA" w:rsidP="00FA09C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FA09CA">
        <w:rPr>
          <w:color w:val="212121"/>
          <w:sz w:val="25"/>
          <w:szCs w:val="25"/>
        </w:rPr>
        <w:t>Расходы на обслуживание муниципального долга в 2022 году составили</w:t>
      </w:r>
      <w:r w:rsidRPr="00FA09CA">
        <w:rPr>
          <w:sz w:val="25"/>
          <w:szCs w:val="25"/>
        </w:rPr>
        <w:t xml:space="preserve"> 60 530,8 </w:t>
      </w:r>
      <w:r w:rsidRPr="00FA09CA">
        <w:rPr>
          <w:color w:val="212121"/>
          <w:sz w:val="25"/>
          <w:szCs w:val="25"/>
        </w:rPr>
        <w:t>тыс. руб. или 0,4% от общего объема расходов бюджета.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A09CA">
        <w:rPr>
          <w:rFonts w:ascii="Times New Roman" w:hAnsi="Times New Roman" w:cs="Times New Roman"/>
          <w:sz w:val="25"/>
          <w:szCs w:val="25"/>
        </w:rPr>
        <w:t xml:space="preserve">По итогам 2022 года сложился профицит городского бюджета в размере 244 605,9 тыс. руб. (по итогам 2021 года сложился дефицит в сумме </w:t>
      </w:r>
      <w:r w:rsidRPr="00FA09CA">
        <w:rPr>
          <w:rFonts w:ascii="Times New Roman" w:hAnsi="Times New Roman" w:cs="Times New Roman"/>
          <w:color w:val="000000"/>
          <w:sz w:val="25"/>
          <w:szCs w:val="25"/>
        </w:rPr>
        <w:t>6 002,4 тыс. руб.</w:t>
      </w:r>
      <w:r w:rsidRPr="00FA09CA">
        <w:rPr>
          <w:rFonts w:ascii="Times New Roman" w:hAnsi="Times New Roman" w:cs="Times New Roman"/>
          <w:sz w:val="25"/>
          <w:szCs w:val="25"/>
        </w:rPr>
        <w:t>).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A09CA">
        <w:rPr>
          <w:rFonts w:ascii="Times New Roman" w:hAnsi="Times New Roman" w:cs="Times New Roman"/>
          <w:sz w:val="25"/>
          <w:szCs w:val="25"/>
        </w:rPr>
        <w:t xml:space="preserve">В ходе проведения экспертно-аналитического мероприятия при проведении проверки представленной бюджетной отчетности выявлено наличие просроченной дебиторской задолженности по состоянию на 01.01.2023, не раскрытие информации об имуществе, полученном в пользование, несоответствие отдельных показателей некоторых форм годовой бухгалтерской отчетности и данных, содержащихся в первичных учетных документах и регистрах бухгалтерского учета, несвоевременное списание в бухгалтерском учете банковских гарантий, отсутствие документов о </w:t>
      </w:r>
      <w:r w:rsidRPr="00FA09CA">
        <w:rPr>
          <w:rFonts w:ascii="Times New Roman" w:eastAsia="Calibri" w:hAnsi="Times New Roman" w:cs="Times New Roman"/>
          <w:sz w:val="25"/>
          <w:szCs w:val="25"/>
        </w:rPr>
        <w:t>возложении обязанности начальника</w:t>
      </w:r>
      <w:proofErr w:type="gramEnd"/>
      <w:r w:rsidRPr="00FA09CA">
        <w:rPr>
          <w:rFonts w:ascii="Times New Roman" w:eastAsia="Calibri" w:hAnsi="Times New Roman" w:cs="Times New Roman"/>
          <w:sz w:val="25"/>
          <w:szCs w:val="25"/>
        </w:rPr>
        <w:t xml:space="preserve"> финансово-экономического отдела, отсутствие договора об оказании услуг по ведению бухгалтерского учета.</w:t>
      </w:r>
    </w:p>
    <w:p w:rsidR="00FA09CA" w:rsidRPr="00FA09CA" w:rsidRDefault="00FA09CA" w:rsidP="00FA0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A09CA">
        <w:rPr>
          <w:rFonts w:ascii="Times New Roman" w:eastAsia="Calibri" w:hAnsi="Times New Roman" w:cs="Times New Roman"/>
          <w:sz w:val="25"/>
          <w:szCs w:val="25"/>
        </w:rPr>
        <w:t xml:space="preserve">Выявленные нарушения </w:t>
      </w:r>
      <w:r w:rsidRPr="00FA09CA">
        <w:rPr>
          <w:rFonts w:ascii="Times New Roman" w:hAnsi="Times New Roman" w:cs="Times New Roman"/>
          <w:sz w:val="25"/>
          <w:szCs w:val="25"/>
        </w:rPr>
        <w:t>не повлияли на достоверность показателей отчета об исполнении городского бюджета на 01.01.2023.</w:t>
      </w:r>
    </w:p>
    <w:p w:rsidR="00FA09CA" w:rsidRPr="00FA09CA" w:rsidRDefault="00FA09CA" w:rsidP="00FA09CA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FA09CA">
        <w:rPr>
          <w:rFonts w:ascii="Times New Roman" w:hAnsi="Times New Roman" w:cs="Times New Roman"/>
          <w:noProof/>
          <w:sz w:val="25"/>
          <w:szCs w:val="25"/>
        </w:rPr>
        <w:t xml:space="preserve">По результатам внешней проверки контрольно-счетной палатой </w:t>
      </w:r>
      <w:r w:rsidRPr="00FA09C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подготовлено </w:t>
      </w:r>
      <w:r w:rsidRPr="00FA09CA">
        <w:rPr>
          <w:rFonts w:ascii="Times New Roman" w:hAnsi="Times New Roman" w:cs="Times New Roman"/>
          <w:sz w:val="25"/>
          <w:szCs w:val="25"/>
        </w:rPr>
        <w:t xml:space="preserve">и </w:t>
      </w:r>
      <w:r w:rsidRPr="00FA09CA">
        <w:rPr>
          <w:rFonts w:ascii="Times New Roman" w:hAnsi="Times New Roman" w:cs="Times New Roman"/>
          <w:color w:val="212121"/>
          <w:sz w:val="25"/>
          <w:szCs w:val="25"/>
        </w:rPr>
        <w:t xml:space="preserve">направлено в Архангельскую городскую Думу и Главе города заключение на </w:t>
      </w:r>
      <w:r w:rsidRPr="00FA09CA">
        <w:rPr>
          <w:rFonts w:ascii="Times New Roman" w:hAnsi="Times New Roman" w:cs="Times New Roman"/>
          <w:noProof/>
          <w:sz w:val="25"/>
          <w:szCs w:val="25"/>
        </w:rPr>
        <w:t>отчет об исполнении городского бюджета за 2022 год.</w:t>
      </w:r>
    </w:p>
    <w:p w:rsidR="00DF7D1D" w:rsidRPr="00FA09CA" w:rsidRDefault="00DF7D1D">
      <w:pPr>
        <w:rPr>
          <w:sz w:val="25"/>
          <w:szCs w:val="25"/>
        </w:rPr>
      </w:pPr>
    </w:p>
    <w:sectPr w:rsidR="00DF7D1D" w:rsidRPr="00FA09CA" w:rsidSect="002C596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A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596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09CA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4</cp:revision>
  <dcterms:created xsi:type="dcterms:W3CDTF">2023-07-05T09:00:00Z</dcterms:created>
  <dcterms:modified xsi:type="dcterms:W3CDTF">2023-07-05T09:02:00Z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